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94C252">
      <w:pPr>
        <w:pStyle w:val="12"/>
        <w:jc w:val="center"/>
        <w:rPr>
          <w:b/>
        </w:rPr>
      </w:pPr>
      <w:r>
        <w:rPr>
          <w:b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2057400</wp:posOffset>
                </wp:positionH>
                <wp:positionV relativeFrom="paragraph">
                  <wp:posOffset>-762000</wp:posOffset>
                </wp:positionV>
                <wp:extent cx="1244600" cy="673100"/>
                <wp:effectExtent l="0" t="0" r="0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44600" cy="6731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6B1CF64">
                            <w:r>
                              <w:rPr>
                                <w:sz w:val="20"/>
                              </w:rPr>
                              <w:drawing>
                                <wp:inline distT="0" distB="0" distL="0" distR="0">
                                  <wp:extent cx="1047750" cy="527050"/>
                                  <wp:effectExtent l="0" t="0" r="0" b="6350"/>
                                  <wp:docPr id="3" name="Image 3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3" name="Image 3"/>
                                          <pic:cNvPicPr/>
                                        </pic:nvPicPr>
                                        <pic:blipFill>
                                          <a:blip r:embed="rId6" cstate="print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048482" cy="527418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62pt;margin-top:-60pt;height:53pt;width:98pt;z-index:251659264;mso-width-relative:page;mso-height-relative:page;" fillcolor="#FFFFFF [3201]" filled="t" stroked="f" coordsize="21600,21600" o:gfxdata="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n3Z2gNMAAAAMAQAADwAAAAAAAAABACAAAAAiAAAAZHJz&#10;L2Rvd25yZXYueG1sUEsBAhQAFAAAAAgAh07iQOpXZJVCAgAAnAQAAA4AAAAAAAAAAQAgAAAAIgEA&#10;AGRycy9lMm9Eb2MueG1sUEsFBgAAAAAGAAYAWQEAANY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 w14:paraId="76B1CF64">
                      <w:r>
                        <w:rPr>
                          <w:sz w:val="20"/>
                        </w:rPr>
                        <w:drawing>
                          <wp:inline distT="0" distB="0" distL="0" distR="0">
                            <wp:extent cx="1047750" cy="527050"/>
                            <wp:effectExtent l="0" t="0" r="0" b="6350"/>
                            <wp:docPr id="3" name="Image 3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3" name="Image 3"/>
                                    <pic:cNvPicPr/>
                                  </pic:nvPicPr>
                                  <pic:blipFill>
                                    <a:blip r:embed="rId6" cstate="print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048482" cy="527418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</w:rPr>
        <w:t>GRASSROOT INITIATIVE FOR STRENGTHENING COMMUNITY RESILIENCE (GISCOR)</w:t>
      </w:r>
    </w:p>
    <w:p w14:paraId="3C214C27">
      <w:pPr>
        <w:pStyle w:val="12"/>
        <w:jc w:val="center"/>
        <w:rPr>
          <w:b/>
        </w:rPr>
      </w:pPr>
      <w:r>
        <w:rPr>
          <w:b/>
        </w:rPr>
        <w:t>INVITATION TO BID (ITB)</w:t>
      </w:r>
    </w:p>
    <w:p w14:paraId="0CE802AD">
      <w:pPr>
        <w:pStyle w:val="12"/>
        <w:jc w:val="center"/>
        <w:rPr>
          <w:b/>
        </w:rPr>
      </w:pPr>
      <w:r>
        <w:rPr>
          <w:b/>
        </w:rPr>
        <w:t>TENDER FOR REHABILITATION OF VIEWING CENTRE IN DAMATURU LOCAL GOVERNMENT, YOBE STATE, NIGERIA</w:t>
      </w:r>
    </w:p>
    <w:p w14:paraId="203933E9">
      <w:pPr>
        <w:pStyle w:val="12"/>
        <w:jc w:val="center"/>
        <w:rPr>
          <w:b/>
        </w:rPr>
      </w:pPr>
      <w:r>
        <w:rPr>
          <w:b/>
        </w:rPr>
        <w:t>Tender Reference No.: 26/NG/DM</w:t>
      </w:r>
      <w:r>
        <w:rPr>
          <w:rFonts w:hint="default"/>
          <w:b/>
          <w:lang w:val="en-US"/>
        </w:rPr>
        <w:t>T</w:t>
      </w:r>
      <w:r>
        <w:rPr>
          <w:b/>
        </w:rPr>
        <w:t>/GISCOR/ITB/001</w:t>
      </w:r>
    </w:p>
    <w:p w14:paraId="02D7360D">
      <w:pPr>
        <w:pStyle w:val="12"/>
        <w:jc w:val="both"/>
        <w:rPr>
          <w:rFonts w:hint="default"/>
          <w:b/>
          <w:lang w:val="en-US"/>
        </w:rPr>
      </w:pPr>
      <w:r>
        <w:rPr>
          <w:rFonts w:hint="default"/>
          <w:b/>
          <w:lang w:val="en-US"/>
        </w:rPr>
        <w:t xml:space="preserve">Date: </w:t>
      </w:r>
      <w:r>
        <w:rPr>
          <w:rFonts w:hint="default"/>
          <w:b w:val="0"/>
          <w:bCs/>
          <w:lang w:val="en-US"/>
        </w:rPr>
        <w:t>6/02/2026</w:t>
      </w:r>
    </w:p>
    <w:p w14:paraId="3368CACE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/>
          <w:bCs/>
        </w:rPr>
      </w:pPr>
      <w:r>
        <w:rPr>
          <w:rFonts w:eastAsia="Times New Roman" w:cstheme="minorHAnsi"/>
          <w:b/>
          <w:bCs/>
        </w:rPr>
        <w:t>Section 1: Description of Work and General Conditions</w:t>
      </w:r>
    </w:p>
    <w:p w14:paraId="04419355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</w:rPr>
      </w:pPr>
      <w:r>
        <w:rPr>
          <w:rFonts w:eastAsia="Times New Roman" w:cstheme="minorHAnsi"/>
          <w:b/>
          <w:bCs/>
        </w:rPr>
        <w:t>1.1 Presentation of GISCOR</w:t>
      </w:r>
    </w:p>
    <w:p w14:paraId="2E9DB432">
      <w:pPr>
        <w:spacing w:before="100" w:beforeAutospacing="1" w:after="100" w:afterAutospacing="1" w:line="240" w:lineRule="auto"/>
        <w:rPr>
          <w:rFonts w:eastAsia="Times New Roman" w:cstheme="minorHAnsi"/>
        </w:rPr>
      </w:pPr>
      <w:r>
        <w:rPr>
          <w:rFonts w:eastAsia="Times New Roman" w:cstheme="minorHAnsi"/>
        </w:rPr>
        <w:t>Grassroots Initiative for Strengthening Community Resilience (GISCOR) is a national humanitarian and development organization that is non-governmental, non-profit, and non-political. GISCOR is actively present in North-Eastern and North-Western Nigeria, working to strengthen the resilience of populations affected by conflict and natural disasters.</w:t>
      </w:r>
    </w:p>
    <w:p w14:paraId="62741B12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</w:rPr>
      </w:pPr>
      <w:r>
        <w:rPr>
          <w:rFonts w:eastAsia="Times New Roman" w:cstheme="minorHAnsi"/>
          <w:b/>
          <w:bCs/>
        </w:rPr>
        <w:t>1.2 Description of Tasks</w:t>
      </w:r>
    </w:p>
    <w:p w14:paraId="6499C8DA">
      <w:pPr>
        <w:spacing w:before="100" w:beforeAutospacing="1" w:after="100" w:afterAutospacing="1" w:line="240" w:lineRule="auto"/>
        <w:rPr>
          <w:rFonts w:eastAsia="Times New Roman" w:cstheme="minorHAnsi"/>
        </w:rPr>
      </w:pPr>
      <w:r>
        <w:rPr>
          <w:rFonts w:eastAsia="Times New Roman" w:cstheme="minorHAnsi"/>
        </w:rPr>
        <w:t xml:space="preserve">a) The purpose of this tender process is to lead to the signing of a </w:t>
      </w:r>
      <w:r>
        <w:rPr>
          <w:rFonts w:eastAsia="Times New Roman" w:cstheme="minorHAnsi"/>
          <w:b/>
          <w:bCs/>
        </w:rPr>
        <w:t>construction agreement for the rehabilitation of a Viewing Centre in Damaturu Local Government Area, Yobe State</w:t>
      </w:r>
      <w:r>
        <w:rPr>
          <w:rFonts w:eastAsia="Times New Roman" w:cstheme="minorHAnsi"/>
        </w:rPr>
        <w:t>, with the most responsive and qualified bidder.</w:t>
      </w:r>
    </w:p>
    <w:p w14:paraId="2CBCC5C1">
      <w:pPr>
        <w:spacing w:before="100" w:beforeAutospacing="1" w:after="100" w:afterAutospacing="1" w:line="240" w:lineRule="auto"/>
        <w:rPr>
          <w:rFonts w:eastAsia="Times New Roman" w:cstheme="minorHAnsi"/>
        </w:rPr>
      </w:pPr>
      <w:r>
        <w:rPr>
          <w:rFonts w:eastAsia="Times New Roman" w:cstheme="minorHAnsi"/>
        </w:rPr>
        <w:t xml:space="preserve">b) Rehabilitation works may include </w:t>
      </w:r>
      <w:r>
        <w:rPr>
          <w:rFonts w:eastAsia="Times New Roman" w:cstheme="minorHAnsi"/>
          <w:b/>
          <w:bCs/>
        </w:rPr>
        <w:t>civil works, solar installation, and finishing</w:t>
      </w:r>
      <w:r>
        <w:rPr>
          <w:rFonts w:eastAsia="Times New Roman" w:cstheme="minorHAnsi"/>
        </w:rPr>
        <w:t>, as detailed in the Bills of Quantities and technical drawings provided in the annexes.</w:t>
      </w:r>
    </w:p>
    <w:p w14:paraId="2C0ABCD6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</w:rPr>
      </w:pPr>
      <w:r>
        <w:rPr>
          <w:rFonts w:eastAsia="Times New Roman" w:cstheme="minorHAnsi"/>
          <w:b/>
          <w:bCs/>
        </w:rPr>
        <w:t>1.2.1 The Works</w:t>
      </w:r>
    </w:p>
    <w:p w14:paraId="03C1B715">
      <w:pPr>
        <w:spacing w:before="100" w:beforeAutospacing="1" w:after="100" w:afterAutospacing="1" w:line="240" w:lineRule="auto"/>
        <w:rPr>
          <w:rFonts w:eastAsia="Times New Roman" w:cstheme="minorHAnsi"/>
        </w:rPr>
      </w:pPr>
      <w:r>
        <w:rPr>
          <w:rFonts w:eastAsia="Times New Roman" w:cstheme="minorHAnsi"/>
        </w:rPr>
        <w:t xml:space="preserve">GISCOR is seeking a </w:t>
      </w:r>
      <w:r>
        <w:rPr>
          <w:rFonts w:eastAsia="Times New Roman" w:cstheme="minorHAnsi"/>
          <w:b/>
          <w:bCs/>
        </w:rPr>
        <w:t>competent, experienced, and reliable construction company</w:t>
      </w:r>
      <w:r>
        <w:rPr>
          <w:rFonts w:eastAsia="Times New Roman" w:cstheme="minorHAnsi"/>
        </w:rPr>
        <w:t xml:space="preserve"> to rehabilitate an existing Viewing Centre in Damaturu LGA. The successful bidder may also be considered for future construction or rehabilitation works.</w:t>
      </w:r>
    </w:p>
    <w:p w14:paraId="35C4892E">
      <w:pPr>
        <w:spacing w:before="100" w:beforeAutospacing="1" w:after="100" w:afterAutospacing="1" w:line="240" w:lineRule="auto"/>
        <w:rPr>
          <w:rFonts w:eastAsia="Times New Roman" w:cstheme="minorHAnsi"/>
        </w:rPr>
      </w:pPr>
      <w:r>
        <w:rPr>
          <w:rFonts w:eastAsia="Times New Roman" w:cstheme="minorHAnsi"/>
          <w:b/>
          <w:bCs/>
        </w:rPr>
        <w:t>Responsibilities of the Tenderer include but are not limited to:</w:t>
      </w:r>
    </w:p>
    <w:p w14:paraId="67A33795">
      <w:pPr>
        <w:spacing w:before="100" w:beforeAutospacing="1" w:after="100" w:afterAutospacing="1" w:line="240" w:lineRule="auto"/>
        <w:rPr>
          <w:rFonts w:eastAsia="Times New Roman" w:cstheme="minorHAnsi"/>
        </w:rPr>
      </w:pPr>
      <w:r>
        <w:rPr>
          <w:rFonts w:eastAsia="Times New Roman" w:cstheme="minorHAnsi"/>
        </w:rPr>
        <w:t>a) Site preparation, assessment, and mobilization</w:t>
      </w:r>
      <w:r>
        <w:rPr>
          <w:rFonts w:eastAsia="Times New Roman" w:cstheme="minorHAnsi"/>
        </w:rPr>
        <w:br w:type="textWrapping"/>
      </w:r>
      <w:r>
        <w:rPr>
          <w:rFonts w:eastAsia="Times New Roman" w:cstheme="minorHAnsi"/>
        </w:rPr>
        <w:t>b) Procurement, transportation, loading, and unloading of construction materials</w:t>
      </w:r>
      <w:r>
        <w:rPr>
          <w:rFonts w:eastAsia="Times New Roman" w:cstheme="minorHAnsi"/>
        </w:rPr>
        <w:br w:type="textWrapping"/>
      </w:r>
      <w:r>
        <w:rPr>
          <w:rFonts w:eastAsia="Times New Roman" w:cstheme="minorHAnsi"/>
        </w:rPr>
        <w:t>c) Removal of debris, damaged fittings, and waste materials</w:t>
      </w:r>
      <w:r>
        <w:rPr>
          <w:rFonts w:eastAsia="Times New Roman" w:cstheme="minorHAnsi"/>
        </w:rPr>
        <w:br w:type="textWrapping"/>
      </w:r>
      <w:r>
        <w:rPr>
          <w:rFonts w:eastAsia="Times New Roman" w:cstheme="minorHAnsi"/>
        </w:rPr>
        <w:t>d) Repair and rehabilitation of walls, floors, roofing, doors, and windows</w:t>
      </w:r>
      <w:r>
        <w:rPr>
          <w:rFonts w:eastAsia="Times New Roman" w:cstheme="minorHAnsi"/>
        </w:rPr>
        <w:br w:type="textWrapping"/>
      </w:r>
      <w:r>
        <w:rPr>
          <w:rFonts w:eastAsia="Times New Roman" w:cstheme="minorHAnsi"/>
        </w:rPr>
        <w:t>e) solar installation</w:t>
      </w:r>
      <w:r>
        <w:rPr>
          <w:rFonts w:eastAsia="Times New Roman" w:cstheme="minorHAnsi"/>
        </w:rPr>
        <w:br w:type="textWrapping"/>
      </w:r>
      <w:r>
        <w:rPr>
          <w:rFonts w:eastAsia="Times New Roman" w:cstheme="minorHAnsi"/>
        </w:rPr>
        <w:t>f) Painting, finishing, and general refurbishment</w:t>
      </w:r>
      <w:r>
        <w:rPr>
          <w:rFonts w:eastAsia="Times New Roman" w:cstheme="minorHAnsi"/>
        </w:rPr>
        <w:br w:type="textWrapping"/>
      </w:r>
      <w:r>
        <w:rPr>
          <w:rFonts w:eastAsia="Times New Roman" w:cstheme="minorHAnsi"/>
        </w:rPr>
        <w:t>g)Compliance with health, safety, and environmental standards</w:t>
      </w:r>
      <w:r>
        <w:rPr>
          <w:rFonts w:eastAsia="Times New Roman" w:cstheme="minorHAnsi"/>
        </w:rPr>
        <w:br w:type="textWrapping"/>
      </w:r>
      <w:r>
        <w:rPr>
          <w:rFonts w:eastAsia="Times New Roman" w:cstheme="minorHAnsi"/>
        </w:rPr>
        <w:t>h) Quality assurance and supervision of works</w:t>
      </w:r>
    </w:p>
    <w:p w14:paraId="15F3BFE6">
      <w:pPr>
        <w:spacing w:before="100" w:beforeAutospacing="1" w:after="100" w:afterAutospacing="1" w:line="240" w:lineRule="auto"/>
        <w:rPr>
          <w:rFonts w:eastAsia="Times New Roman" w:cstheme="minorHAnsi"/>
        </w:rPr>
      </w:pPr>
      <w:r>
        <w:rPr>
          <w:rFonts w:eastAsia="Times New Roman" w:cstheme="minorHAnsi"/>
        </w:rPr>
        <w:t xml:space="preserve">Detailed technical specifications and drawings are provided in </w:t>
      </w:r>
      <w:r>
        <w:rPr>
          <w:rFonts w:eastAsia="Times New Roman" w:cstheme="minorHAnsi"/>
          <w:b/>
          <w:bCs/>
        </w:rPr>
        <w:t>ANNEX B</w:t>
      </w:r>
    </w:p>
    <w:p w14:paraId="50F3A4C2">
      <w:pPr>
        <w:spacing w:after="0" w:line="240" w:lineRule="auto"/>
        <w:rPr>
          <w:rFonts w:eastAsia="Times New Roman" w:cstheme="minorHAnsi"/>
        </w:rPr>
      </w:pPr>
    </w:p>
    <w:p w14:paraId="21996E05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</w:rPr>
      </w:pPr>
      <w:r>
        <w:rPr>
          <w:rFonts w:eastAsia="Times New Roman" w:cstheme="minorHAnsi"/>
          <w:b/>
          <w:bCs/>
        </w:rPr>
        <w:t>1.2.2 Commencement and Completion of Work</w:t>
      </w:r>
    </w:p>
    <w:p w14:paraId="025AF8D9">
      <w:pPr>
        <w:spacing w:before="100" w:beforeAutospacing="1" w:after="100" w:afterAutospacing="1" w:line="240" w:lineRule="auto"/>
        <w:rPr>
          <w:rFonts w:eastAsia="Times New Roman" w:cstheme="minorHAnsi"/>
        </w:rPr>
      </w:pPr>
      <w:r>
        <w:rPr>
          <w:rFonts w:eastAsia="Times New Roman" w:cstheme="minorHAnsi"/>
        </w:rPr>
        <w:t xml:space="preserve">a) The Tenderer shall commence work </w:t>
      </w:r>
      <w:r>
        <w:rPr>
          <w:rFonts w:eastAsia="Times New Roman" w:cstheme="minorHAnsi"/>
          <w:b/>
          <w:bCs/>
        </w:rPr>
        <w:t>within five (5) days</w:t>
      </w:r>
      <w:r>
        <w:rPr>
          <w:rFonts w:eastAsia="Times New Roman" w:cstheme="minorHAnsi"/>
        </w:rPr>
        <w:t xml:space="preserve"> of signing the contract and site handover.</w:t>
      </w:r>
    </w:p>
    <w:p w14:paraId="6E61C8D4">
      <w:pPr>
        <w:spacing w:before="100" w:beforeAutospacing="1" w:after="100" w:afterAutospacing="1" w:line="240" w:lineRule="auto"/>
        <w:rPr>
          <w:rFonts w:eastAsia="Times New Roman" w:cstheme="minorHAnsi"/>
        </w:rPr>
      </w:pPr>
      <w:r>
        <w:rPr>
          <w:rFonts w:eastAsia="Times New Roman" w:cstheme="minorHAnsi"/>
        </w:rPr>
        <w:t xml:space="preserve">b) GISCOR shall hand over the site within </w:t>
      </w:r>
      <w:r>
        <w:rPr>
          <w:rFonts w:eastAsia="Times New Roman" w:cstheme="minorHAnsi"/>
          <w:b/>
          <w:bCs/>
        </w:rPr>
        <w:t>24 hours</w:t>
      </w:r>
      <w:r>
        <w:rPr>
          <w:rFonts w:eastAsia="Times New Roman" w:cstheme="minorHAnsi"/>
        </w:rPr>
        <w:t xml:space="preserve"> of contract signing unless otherwise agreed in writing.</w:t>
      </w:r>
    </w:p>
    <w:p w14:paraId="36854956">
      <w:pPr>
        <w:spacing w:before="100" w:beforeAutospacing="1" w:after="100" w:afterAutospacing="1" w:line="240" w:lineRule="auto"/>
        <w:rPr>
          <w:rFonts w:eastAsia="Times New Roman" w:cstheme="minorHAnsi"/>
        </w:rPr>
      </w:pPr>
      <w:r>
        <w:rPr>
          <w:rFonts w:eastAsia="Times New Roman" w:cstheme="minorHAnsi"/>
        </w:rPr>
        <w:t xml:space="preserve">c) The rehabilitation works shall be completed within </w:t>
      </w:r>
      <w:r>
        <w:rPr>
          <w:rFonts w:hint="default" w:eastAsia="Times New Roman" w:cstheme="minorHAnsi"/>
          <w:lang w:val="en-US"/>
        </w:rPr>
        <w:t>Four</w:t>
      </w:r>
      <w:r>
        <w:rPr>
          <w:rFonts w:eastAsia="Times New Roman" w:cstheme="minorHAnsi"/>
          <w:b/>
          <w:bCs/>
        </w:rPr>
        <w:t xml:space="preserve"> (</w:t>
      </w:r>
      <w:r>
        <w:rPr>
          <w:rFonts w:hint="default" w:eastAsia="Times New Roman" w:cstheme="minorHAnsi"/>
          <w:b/>
          <w:bCs/>
          <w:lang w:val="en-US"/>
        </w:rPr>
        <w:t>4</w:t>
      </w:r>
      <w:r>
        <w:rPr>
          <w:rFonts w:eastAsia="Times New Roman" w:cstheme="minorHAnsi"/>
          <w:b/>
          <w:bCs/>
        </w:rPr>
        <w:t>) weeks</w:t>
      </w:r>
      <w:r>
        <w:rPr>
          <w:rFonts w:eastAsia="Times New Roman" w:cstheme="minorHAnsi"/>
        </w:rPr>
        <w:t xml:space="preserve"> from the date of site handover. Any request for extension must be submitted in writing within </w:t>
      </w:r>
      <w:r>
        <w:rPr>
          <w:rFonts w:eastAsia="Times New Roman" w:cstheme="minorHAnsi"/>
          <w:b/>
          <w:bCs/>
        </w:rPr>
        <w:t>seven (7) days</w:t>
      </w:r>
      <w:r>
        <w:rPr>
          <w:rFonts w:eastAsia="Times New Roman" w:cstheme="minorHAnsi"/>
        </w:rPr>
        <w:t xml:space="preserve"> of the cause of delay.</w:t>
      </w:r>
    </w:p>
    <w:p w14:paraId="12245A7A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</w:rPr>
      </w:pPr>
      <w:r>
        <w:rPr>
          <w:rFonts w:eastAsia="Times New Roman" w:cstheme="minorHAnsi"/>
          <w:b/>
          <w:bCs/>
        </w:rPr>
        <w:t>1.2.3 Damages for Delay, Abandonment, and Cessation of Work</w:t>
      </w:r>
    </w:p>
    <w:p w14:paraId="6D908264">
      <w:pPr>
        <w:spacing w:before="100" w:beforeAutospacing="1" w:after="100" w:afterAutospacing="1" w:line="240" w:lineRule="auto"/>
        <w:rPr>
          <w:rFonts w:eastAsia="Times New Roman" w:cstheme="minorHAnsi"/>
        </w:rPr>
      </w:pPr>
      <w:r>
        <w:rPr>
          <w:rFonts w:eastAsia="Times New Roman" w:cstheme="minorHAnsi"/>
        </w:rPr>
        <w:t xml:space="preserve">All provisions under this clause </w:t>
      </w:r>
      <w:r>
        <w:rPr>
          <w:rFonts w:eastAsia="Times New Roman" w:cstheme="minorHAnsi"/>
          <w:b/>
          <w:bCs/>
        </w:rPr>
        <w:t>remain unchanged</w:t>
      </w:r>
      <w:r>
        <w:rPr>
          <w:rFonts w:eastAsia="Times New Roman" w:cstheme="minorHAnsi"/>
        </w:rPr>
        <w:t>, including:</w:t>
      </w:r>
    </w:p>
    <w:p w14:paraId="3F6FDB0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theme="minorHAnsi"/>
        </w:rPr>
      </w:pPr>
      <w:r>
        <w:rPr>
          <w:rFonts w:eastAsia="Times New Roman" w:cstheme="minorHAnsi"/>
        </w:rPr>
        <w:t>Cancellation of contract for non-performance</w:t>
      </w:r>
    </w:p>
    <w:p w14:paraId="555ACCD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theme="minorHAnsi"/>
        </w:rPr>
      </w:pPr>
      <w:r>
        <w:rPr>
          <w:rFonts w:eastAsia="Times New Roman" w:cstheme="minorHAnsi"/>
        </w:rPr>
        <w:t xml:space="preserve">Liquidated damages of </w:t>
      </w:r>
      <w:r>
        <w:rPr>
          <w:rFonts w:eastAsia="Times New Roman" w:cstheme="minorHAnsi"/>
          <w:b/>
          <w:bCs/>
        </w:rPr>
        <w:t>NGN 20,000 per day</w:t>
      </w:r>
      <w:r>
        <w:rPr>
          <w:rFonts w:eastAsia="Times New Roman" w:cstheme="minorHAnsi"/>
        </w:rPr>
        <w:t xml:space="preserve"> for delays</w:t>
      </w:r>
    </w:p>
    <w:p w14:paraId="59144B2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theme="minorHAnsi"/>
        </w:rPr>
      </w:pPr>
      <w:r>
        <w:rPr>
          <w:rFonts w:eastAsia="Times New Roman" w:cstheme="minorHAnsi"/>
        </w:rPr>
        <w:t>Liability for additional costs incurred by GISCOR</w:t>
      </w:r>
    </w:p>
    <w:p w14:paraId="0B5DD1A7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</w:rPr>
      </w:pPr>
      <w:r>
        <w:rPr>
          <w:rFonts w:eastAsia="Times New Roman" w:cstheme="minorHAnsi"/>
          <w:b/>
          <w:bCs/>
        </w:rPr>
        <w:t>1.2.4 Abandonment of Work by the Agency</w:t>
      </w:r>
    </w:p>
    <w:p w14:paraId="2ABD0C99">
      <w:pPr>
        <w:spacing w:before="100" w:beforeAutospacing="1" w:after="100" w:afterAutospacing="1" w:line="240" w:lineRule="auto"/>
        <w:rPr>
          <w:rFonts w:eastAsia="Times New Roman" w:cstheme="minorHAnsi"/>
        </w:rPr>
      </w:pPr>
      <w:r>
        <w:rPr>
          <w:rFonts w:eastAsia="Times New Roman" w:cstheme="minorHAnsi"/>
        </w:rPr>
        <w:t xml:space="preserve">All terms under this section </w:t>
      </w:r>
      <w:r>
        <w:rPr>
          <w:rFonts w:eastAsia="Times New Roman" w:cstheme="minorHAnsi"/>
          <w:b/>
          <w:bCs/>
        </w:rPr>
        <w:t>apply fully</w:t>
      </w:r>
      <w:r>
        <w:rPr>
          <w:rFonts w:eastAsia="Times New Roman" w:cstheme="minorHAnsi"/>
        </w:rPr>
        <w:t xml:space="preserve"> to the rehabilitation works, including compensation limits and settlement procedures.</w:t>
      </w:r>
    </w:p>
    <w:p w14:paraId="7CE279A1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</w:rPr>
      </w:pPr>
      <w:r>
        <w:rPr>
          <w:rFonts w:eastAsia="Times New Roman" w:cstheme="minorHAnsi"/>
          <w:b/>
          <w:bCs/>
        </w:rPr>
        <w:t>1.2.5 Variations</w:t>
      </w:r>
    </w:p>
    <w:p w14:paraId="069A8467">
      <w:pPr>
        <w:spacing w:before="100" w:beforeAutospacing="1" w:after="100" w:afterAutospacing="1" w:line="240" w:lineRule="auto"/>
        <w:rPr>
          <w:rFonts w:eastAsia="Times New Roman" w:cstheme="minorHAnsi"/>
        </w:rPr>
      </w:pPr>
      <w:r>
        <w:rPr>
          <w:rFonts w:eastAsia="Times New Roman" w:cstheme="minorHAnsi"/>
        </w:rPr>
        <w:t xml:space="preserve">No variations shall be undertaken without </w:t>
      </w:r>
      <w:r>
        <w:rPr>
          <w:rFonts w:eastAsia="Times New Roman" w:cstheme="minorHAnsi"/>
          <w:b/>
          <w:bCs/>
        </w:rPr>
        <w:t>prior written approval</w:t>
      </w:r>
      <w:r>
        <w:rPr>
          <w:rFonts w:eastAsia="Times New Roman" w:cstheme="minorHAnsi"/>
        </w:rPr>
        <w:t xml:space="preserve"> from the GISCOR Program Officer. All approved variations shall follow the terms of this Tender.</w:t>
      </w:r>
    </w:p>
    <w:p w14:paraId="1BFA348F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/>
          <w:bCs/>
        </w:rPr>
      </w:pPr>
      <w:r>
        <w:rPr>
          <w:rFonts w:eastAsia="Times New Roman" w:cstheme="minorHAnsi"/>
          <w:b/>
          <w:bCs/>
        </w:rPr>
        <w:t>Section 2: Conditions for Bidding</w:t>
      </w:r>
    </w:p>
    <w:p w14:paraId="4C120385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</w:rPr>
      </w:pPr>
      <w:r>
        <w:rPr>
          <w:rFonts w:eastAsia="Times New Roman" w:cstheme="minorHAnsi"/>
          <w:b/>
          <w:bCs/>
        </w:rPr>
        <w:t>2.1 Place of Service</w:t>
      </w:r>
    </w:p>
    <w:p w14:paraId="32E38675">
      <w:pPr>
        <w:spacing w:before="100" w:beforeAutospacing="1" w:after="100" w:afterAutospacing="1" w:line="240" w:lineRule="auto"/>
        <w:rPr>
          <w:rFonts w:eastAsia="Times New Roman" w:cstheme="minorHAnsi"/>
        </w:rPr>
      </w:pPr>
      <w:r>
        <w:rPr>
          <w:rFonts w:eastAsia="Times New Roman" w:cstheme="minorHAnsi"/>
        </w:rPr>
        <w:t>All services under this tender shall be carried out in:</w:t>
      </w:r>
      <w:r>
        <w:rPr>
          <w:rFonts w:eastAsia="Times New Roman" w:cstheme="minorHAnsi"/>
        </w:rPr>
        <w:br w:type="textWrapping"/>
      </w:r>
      <w:r>
        <w:rPr>
          <w:rFonts w:eastAsia="Times New Roman" w:cstheme="minorHAnsi"/>
          <w:b/>
          <w:bCs/>
        </w:rPr>
        <w:t>Damaturu Local Government Area, Yobe State, Nigeria</w:t>
      </w:r>
    </w:p>
    <w:p w14:paraId="415DFD61">
      <w:pPr>
        <w:spacing w:before="100" w:beforeAutospacing="1" w:after="100" w:afterAutospacing="1" w:line="240" w:lineRule="auto"/>
        <w:rPr>
          <w:rFonts w:eastAsia="Times New Roman" w:cstheme="minorHAnsi"/>
        </w:rPr>
      </w:pPr>
      <w:r>
        <w:rPr>
          <w:rFonts w:eastAsia="Times New Roman" w:cstheme="minorHAnsi"/>
        </w:rPr>
        <w:t>The service provider must comply with GISCOR’s Code of Conduct, Protection Policies, Anti-Corruption, and Counter-Terrorism clauses.</w:t>
      </w:r>
    </w:p>
    <w:p w14:paraId="5214533C">
      <w:pPr>
        <w:spacing w:after="0" w:line="240" w:lineRule="auto"/>
        <w:rPr>
          <w:rFonts w:eastAsia="Times New Roman" w:cstheme="minorHAnsi"/>
        </w:rPr>
      </w:pPr>
    </w:p>
    <w:p w14:paraId="5524AD69">
      <w:pPr>
        <w:spacing w:after="0" w:line="240" w:lineRule="auto"/>
        <w:rPr>
          <w:rFonts w:eastAsia="Times New Roman" w:cstheme="minorHAnsi"/>
        </w:rPr>
      </w:pPr>
    </w:p>
    <w:p w14:paraId="75267C99">
      <w:pPr>
        <w:spacing w:after="0" w:line="240" w:lineRule="auto"/>
        <w:rPr>
          <w:rFonts w:eastAsia="Times New Roman" w:cstheme="minorHAnsi"/>
        </w:rPr>
      </w:pPr>
    </w:p>
    <w:p w14:paraId="606EA3B1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/>
          <w:bCs/>
        </w:rPr>
      </w:pPr>
      <w:r>
        <w:rPr>
          <w:rFonts w:eastAsia="Times New Roman" w:cstheme="minorHAnsi"/>
          <w:b/>
          <w:bCs/>
        </w:rPr>
        <w:t>2.1 Administrative Verification</w:t>
      </w:r>
    </w:p>
    <w:p w14:paraId="3C63CCAC">
      <w:pPr>
        <w:spacing w:before="100" w:beforeAutospacing="1" w:after="100" w:afterAutospacing="1" w:line="240" w:lineRule="auto"/>
        <w:rPr>
          <w:rFonts w:eastAsia="Times New Roman" w:cstheme="minorHAnsi"/>
        </w:rPr>
      </w:pPr>
      <w:r>
        <w:rPr>
          <w:rFonts w:eastAsia="Times New Roman" w:cstheme="minorHAnsi"/>
        </w:rPr>
        <w:t>An administrative compliance check shall be conducted at the bid opening stage to verify that submissions meet the eligibility and submission requirements set out in this Invitation to Bid.</w:t>
      </w:r>
    </w:p>
    <w:p w14:paraId="01B52C2D">
      <w:pPr>
        <w:spacing w:before="100" w:beforeAutospacing="1" w:after="100" w:afterAutospacing="1" w:line="240" w:lineRule="auto"/>
        <w:rPr>
          <w:rFonts w:eastAsia="Times New Roman" w:cstheme="minorHAnsi"/>
        </w:rPr>
      </w:pPr>
      <w:r>
        <w:rPr>
          <w:rFonts w:eastAsia="Times New Roman" w:cstheme="minorHAnsi"/>
        </w:rPr>
        <w:t xml:space="preserve">Any bid found to contain </w:t>
      </w:r>
      <w:r>
        <w:rPr>
          <w:rFonts w:eastAsia="Times New Roman" w:cstheme="minorHAnsi"/>
          <w:b/>
          <w:bCs/>
        </w:rPr>
        <w:t>false, misleading, or incomplete information</w:t>
      </w:r>
      <w:r>
        <w:rPr>
          <w:rFonts w:eastAsia="Times New Roman" w:cstheme="minorHAnsi"/>
        </w:rPr>
        <w:t xml:space="preserve">, whether intentional or not, shall be declared </w:t>
      </w:r>
      <w:r>
        <w:rPr>
          <w:rFonts w:eastAsia="Times New Roman" w:cstheme="minorHAnsi"/>
          <w:b/>
          <w:bCs/>
        </w:rPr>
        <w:t>non-responsive</w:t>
      </w:r>
      <w:r>
        <w:rPr>
          <w:rFonts w:eastAsia="Times New Roman" w:cstheme="minorHAnsi"/>
        </w:rPr>
        <w:t xml:space="preserve"> and rejected.</w:t>
      </w:r>
    </w:p>
    <w:p w14:paraId="45F3B8FF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</w:rPr>
      </w:pPr>
      <w:r>
        <w:rPr>
          <w:rFonts w:eastAsia="Times New Roman" w:cstheme="minorHAnsi"/>
          <w:b/>
          <w:bCs/>
        </w:rPr>
        <w:t>Administrative Compliance Checklist (Yes / No)</w:t>
      </w:r>
    </w:p>
    <w:tbl>
      <w:tblPr>
        <w:tblStyle w:val="9"/>
        <w:tblW w:w="950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50"/>
        <w:gridCol w:w="1159"/>
      </w:tblGrid>
      <w:tr w14:paraId="25783C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0" w:type="auto"/>
          </w:tcPr>
          <w:p w14:paraId="7E379AD5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</w:rPr>
            </w:pPr>
            <w:r>
              <w:rPr>
                <w:rFonts w:eastAsia="Times New Roman" w:cstheme="minorHAnsi"/>
                <w:b/>
                <w:bCs/>
              </w:rPr>
              <w:t>Requirement</w:t>
            </w:r>
          </w:p>
        </w:tc>
        <w:tc>
          <w:tcPr>
            <w:tcW w:w="0" w:type="auto"/>
          </w:tcPr>
          <w:p w14:paraId="77C4D60D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</w:rPr>
            </w:pPr>
            <w:r>
              <w:rPr>
                <w:rFonts w:eastAsia="Times New Roman" w:cstheme="minorHAnsi"/>
                <w:b/>
                <w:bCs/>
              </w:rPr>
              <w:t>Compliant</w:t>
            </w:r>
          </w:p>
        </w:tc>
      </w:tr>
      <w:tr w14:paraId="2B8D1B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0" w:type="auto"/>
          </w:tcPr>
          <w:p w14:paraId="1247A23E">
            <w:pPr>
              <w:spacing w:after="0" w:line="240" w:lineRule="auto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Bid received before the stated deadline (date and time)</w:t>
            </w:r>
          </w:p>
        </w:tc>
        <w:tc>
          <w:tcPr>
            <w:tcW w:w="0" w:type="auto"/>
          </w:tcPr>
          <w:p w14:paraId="1BDD810A">
            <w:pPr>
              <w:spacing w:after="0" w:line="240" w:lineRule="auto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Yes / No</w:t>
            </w:r>
          </w:p>
        </w:tc>
      </w:tr>
      <w:tr w14:paraId="6E2065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0" w:type="auto"/>
          </w:tcPr>
          <w:p w14:paraId="52690783">
            <w:pPr>
              <w:spacing w:after="0" w:line="240" w:lineRule="auto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Envelope properly sealed, with no evidence of tampering</w:t>
            </w:r>
          </w:p>
        </w:tc>
        <w:tc>
          <w:tcPr>
            <w:tcW w:w="0" w:type="auto"/>
          </w:tcPr>
          <w:p w14:paraId="4AFEECC1">
            <w:pPr>
              <w:spacing w:after="0" w:line="240" w:lineRule="auto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Yes / No</w:t>
            </w:r>
          </w:p>
        </w:tc>
      </w:tr>
      <w:tr w14:paraId="645DA4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</w:tcPr>
          <w:p w14:paraId="70E8D448">
            <w:pPr>
              <w:spacing w:after="0" w:line="240" w:lineRule="auto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Envelope clearly marked with the tender reference number</w:t>
            </w:r>
          </w:p>
        </w:tc>
        <w:tc>
          <w:tcPr>
            <w:tcW w:w="0" w:type="auto"/>
          </w:tcPr>
          <w:p w14:paraId="21C99711">
            <w:pPr>
              <w:spacing w:after="0" w:line="240" w:lineRule="auto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Yes / No</w:t>
            </w:r>
          </w:p>
        </w:tc>
      </w:tr>
      <w:tr w14:paraId="7A4683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0" w:type="auto"/>
          </w:tcPr>
          <w:p w14:paraId="27267468">
            <w:pPr>
              <w:spacing w:after="0" w:line="240" w:lineRule="auto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Duly completed, signed, and stamped Supplier Registration Form (Annex A)</w:t>
            </w:r>
          </w:p>
        </w:tc>
        <w:tc>
          <w:tcPr>
            <w:tcW w:w="0" w:type="auto"/>
          </w:tcPr>
          <w:p w14:paraId="5EFCFD8B">
            <w:pPr>
              <w:spacing w:after="0" w:line="240" w:lineRule="auto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Yes / No</w:t>
            </w:r>
          </w:p>
        </w:tc>
      </w:tr>
      <w:tr w14:paraId="65D8D0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0" w:type="auto"/>
          </w:tcPr>
          <w:p w14:paraId="688FAE6E">
            <w:pPr>
              <w:spacing w:after="0" w:line="240" w:lineRule="auto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Duly completed, signed, and stamped Bill of Quantities (Annex B – Rehabilitation of Viewing Centre)</w:t>
            </w:r>
          </w:p>
        </w:tc>
        <w:tc>
          <w:tcPr>
            <w:tcW w:w="0" w:type="auto"/>
          </w:tcPr>
          <w:p w14:paraId="79F397BF">
            <w:pPr>
              <w:spacing w:after="0" w:line="240" w:lineRule="auto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Yes / No</w:t>
            </w:r>
          </w:p>
        </w:tc>
      </w:tr>
      <w:tr w14:paraId="3217B5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0" w:type="auto"/>
          </w:tcPr>
          <w:p w14:paraId="5E4F4918">
            <w:pPr>
              <w:spacing w:after="0" w:line="240" w:lineRule="auto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Duly completed Work Plan and Technical Approach  –</w:t>
            </w:r>
            <w:r>
              <w:rPr>
                <w:rFonts w:hint="default" w:eastAsia="Times New Roman" w:cstheme="minorHAnsi"/>
                <w:lang w:val="en-US"/>
              </w:rPr>
              <w:t xml:space="preserve"> </w:t>
            </w:r>
            <w:r>
              <w:rPr>
                <w:rFonts w:eastAsia="Times New Roman" w:cstheme="minorHAnsi"/>
              </w:rPr>
              <w:t xml:space="preserve"> Rehabilitation of Viewing Centre)</w:t>
            </w:r>
          </w:p>
        </w:tc>
        <w:tc>
          <w:tcPr>
            <w:tcW w:w="0" w:type="auto"/>
          </w:tcPr>
          <w:p w14:paraId="2E23BCC8">
            <w:pPr>
              <w:spacing w:after="0" w:line="240" w:lineRule="auto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Yes / No</w:t>
            </w:r>
          </w:p>
        </w:tc>
      </w:tr>
      <w:tr w14:paraId="151B15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0" w:type="auto"/>
          </w:tcPr>
          <w:p w14:paraId="4BAECD36">
            <w:pPr>
              <w:spacing w:after="0" w:line="240" w:lineRule="auto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  <w:highlight w:val="none"/>
              </w:rPr>
              <w:t xml:space="preserve">Duly completed, signed, and stamped </w:t>
            </w:r>
            <w:r>
              <w:rPr>
                <w:rFonts w:hint="default" w:eastAsia="Times New Roman" w:cstheme="minorHAnsi"/>
                <w:highlight w:val="none"/>
                <w:lang w:val="en-US"/>
              </w:rPr>
              <w:t>Supplier code of Conduct</w:t>
            </w:r>
            <w:r>
              <w:rPr>
                <w:rFonts w:eastAsia="Times New Roman" w:cstheme="minorHAnsi"/>
                <w:highlight w:val="none"/>
              </w:rPr>
              <w:t xml:space="preserve"> Form (Annex </w:t>
            </w:r>
            <w:r>
              <w:rPr>
                <w:rFonts w:hint="default" w:eastAsia="Times New Roman" w:cstheme="minorHAnsi"/>
                <w:highlight w:val="none"/>
                <w:lang w:val="en-US"/>
              </w:rPr>
              <w:t>C</w:t>
            </w:r>
            <w:r>
              <w:rPr>
                <w:rFonts w:eastAsia="Times New Roman" w:cstheme="minorHAnsi"/>
                <w:highlight w:val="none"/>
              </w:rPr>
              <w:t>)</w:t>
            </w:r>
          </w:p>
        </w:tc>
        <w:tc>
          <w:tcPr>
            <w:tcW w:w="0" w:type="auto"/>
          </w:tcPr>
          <w:p w14:paraId="03495DC5">
            <w:pPr>
              <w:spacing w:after="0" w:line="240" w:lineRule="auto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Yes / No</w:t>
            </w:r>
          </w:p>
        </w:tc>
      </w:tr>
      <w:tr w14:paraId="3C2C04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</w:tcPr>
          <w:p w14:paraId="1C79624E">
            <w:pPr>
              <w:spacing w:after="0" w:line="240" w:lineRule="auto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Valid CAC registration, Company Profile, and TIN</w:t>
            </w:r>
          </w:p>
        </w:tc>
        <w:tc>
          <w:tcPr>
            <w:tcW w:w="0" w:type="auto"/>
          </w:tcPr>
          <w:p w14:paraId="69DFE7A2">
            <w:pPr>
              <w:spacing w:after="0" w:line="240" w:lineRule="auto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Yes / No</w:t>
            </w:r>
          </w:p>
        </w:tc>
      </w:tr>
      <w:tr w14:paraId="7FAE63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0" w:type="auto"/>
          </w:tcPr>
          <w:p w14:paraId="507287F5">
            <w:pPr>
              <w:spacing w:after="0" w:line="240" w:lineRule="auto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Valid Tax Clearance Certificate (most recent)-31</w:t>
            </w:r>
            <w:r>
              <w:rPr>
                <w:rFonts w:eastAsia="Times New Roman" w:cstheme="minorHAnsi"/>
                <w:vertAlign w:val="superscript"/>
              </w:rPr>
              <w:t>st</w:t>
            </w:r>
            <w:r>
              <w:rPr>
                <w:rFonts w:eastAsia="Times New Roman" w:cstheme="minorHAnsi"/>
              </w:rPr>
              <w:t xml:space="preserve"> December 2026</w:t>
            </w:r>
          </w:p>
        </w:tc>
        <w:tc>
          <w:tcPr>
            <w:tcW w:w="0" w:type="auto"/>
          </w:tcPr>
          <w:p w14:paraId="65A468C4">
            <w:pPr>
              <w:spacing w:after="0" w:line="240" w:lineRule="auto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Yes / No</w:t>
            </w:r>
          </w:p>
        </w:tc>
      </w:tr>
      <w:tr w14:paraId="7131FD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0" w:type="auto"/>
          </w:tcPr>
          <w:p w14:paraId="1798238D">
            <w:pPr>
              <w:spacing w:after="0" w:line="240" w:lineRule="auto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Valid identification of the Legal Representative</w:t>
            </w:r>
          </w:p>
        </w:tc>
        <w:tc>
          <w:tcPr>
            <w:tcW w:w="0" w:type="auto"/>
          </w:tcPr>
          <w:p w14:paraId="106BF014">
            <w:pPr>
              <w:spacing w:after="0" w:line="240" w:lineRule="auto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Yes / No</w:t>
            </w:r>
          </w:p>
        </w:tc>
      </w:tr>
    </w:tbl>
    <w:p w14:paraId="69672967">
      <w:pPr>
        <w:spacing w:before="100" w:beforeAutospacing="1" w:after="100" w:afterAutospacing="1" w:line="240" w:lineRule="auto"/>
        <w:rPr>
          <w:rFonts w:eastAsia="Times New Roman" w:cstheme="minorHAnsi"/>
        </w:rPr>
      </w:pPr>
      <w:r>
        <w:rPr>
          <w:rFonts w:ascii="Segoe UI Symbol" w:hAnsi="Segoe UI Symbol" w:eastAsia="Times New Roman" w:cs="Segoe UI Symbol"/>
        </w:rPr>
        <w:t>📌</w:t>
      </w:r>
      <w:r>
        <w:rPr>
          <w:rFonts w:eastAsia="Times New Roman" w:cstheme="minorHAnsi"/>
        </w:rPr>
        <w:t xml:space="preserve"> </w:t>
      </w:r>
      <w:r>
        <w:rPr>
          <w:rFonts w:eastAsia="Times New Roman" w:cstheme="minorHAnsi"/>
          <w:b/>
          <w:bCs/>
        </w:rPr>
        <w:t>Note:</w:t>
      </w:r>
      <w:r>
        <w:rPr>
          <w:rFonts w:eastAsia="Times New Roman" w:cstheme="minorHAnsi"/>
        </w:rPr>
        <w:t xml:space="preserve"> Failure to comply with </w:t>
      </w:r>
      <w:r>
        <w:rPr>
          <w:rFonts w:eastAsia="Times New Roman" w:cstheme="minorHAnsi"/>
          <w:b/>
          <w:bCs/>
        </w:rPr>
        <w:t>any one (1)</w:t>
      </w:r>
      <w:r>
        <w:rPr>
          <w:rFonts w:eastAsia="Times New Roman" w:cstheme="minorHAnsi"/>
        </w:rPr>
        <w:t xml:space="preserve"> of the above requirements shall result in automatic disqualification of the bid.</w:t>
      </w:r>
    </w:p>
    <w:p w14:paraId="5ABCDD8A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/>
          <w:bCs/>
        </w:rPr>
      </w:pPr>
      <w:r>
        <w:rPr>
          <w:rFonts w:eastAsia="Times New Roman" w:cstheme="minorHAnsi"/>
          <w:b/>
          <w:bCs/>
        </w:rPr>
        <w:t>2.2 Technical Evaluation (70 Points)</w:t>
      </w:r>
    </w:p>
    <w:p w14:paraId="76BDC5B1">
      <w:pPr>
        <w:spacing w:before="100" w:beforeAutospacing="1" w:after="100" w:afterAutospacing="1" w:line="240" w:lineRule="auto"/>
        <w:rPr>
          <w:rFonts w:eastAsia="Times New Roman" w:cstheme="minorHAnsi"/>
        </w:rPr>
      </w:pPr>
      <w:r>
        <w:rPr>
          <w:rFonts w:eastAsia="Times New Roman" w:cstheme="minorHAnsi"/>
        </w:rPr>
        <w:t>Only bids that pass the administrative verification stage shall proceed to the technical evaluation. The technical assessment shall be conducted in accordance with the criteria below:</w:t>
      </w:r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96"/>
        <w:gridCol w:w="6592"/>
        <w:gridCol w:w="788"/>
      </w:tblGrid>
      <w:tr w14:paraId="473838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 w14:paraId="7820C93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</w:rPr>
            </w:pPr>
            <w:r>
              <w:rPr>
                <w:rFonts w:eastAsia="Times New Roman" w:cstheme="minorHAnsi"/>
                <w:b/>
                <w:bCs/>
              </w:rPr>
              <w:t>Evaluation Criteria</w:t>
            </w:r>
          </w:p>
        </w:tc>
        <w:tc>
          <w:tcPr>
            <w:tcW w:w="0" w:type="auto"/>
          </w:tcPr>
          <w:p w14:paraId="412769D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</w:rPr>
            </w:pPr>
            <w:r>
              <w:rPr>
                <w:rFonts w:eastAsia="Times New Roman" w:cstheme="minorHAnsi"/>
                <w:b/>
                <w:bCs/>
              </w:rPr>
              <w:t>Description</w:t>
            </w:r>
          </w:p>
        </w:tc>
        <w:tc>
          <w:tcPr>
            <w:tcW w:w="0" w:type="auto"/>
          </w:tcPr>
          <w:p w14:paraId="18678ED4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</w:rPr>
            </w:pPr>
            <w:r>
              <w:rPr>
                <w:rFonts w:eastAsia="Times New Roman" w:cstheme="minorHAnsi"/>
                <w:b/>
                <w:bCs/>
              </w:rPr>
              <w:t>Points</w:t>
            </w:r>
          </w:p>
        </w:tc>
      </w:tr>
      <w:tr w14:paraId="30F206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 w14:paraId="063DAF4C">
            <w:pPr>
              <w:spacing w:after="0" w:line="240" w:lineRule="auto"/>
              <w:rPr>
                <w:rFonts w:eastAsia="Times New Roman" w:cstheme="minorHAnsi"/>
              </w:rPr>
            </w:pPr>
            <w:r>
              <w:rPr>
                <w:rFonts w:hint="default" w:ascii="Calibri" w:hAnsi="Calibri" w:cs="Calibri"/>
                <w:b/>
                <w:bCs/>
                <w:sz w:val="22"/>
                <w:szCs w:val="22"/>
              </w:rPr>
              <w:t>Key Personnel</w:t>
            </w:r>
            <w:r>
              <w:rPr>
                <w:rFonts w:hint="default" w:ascii="Calibri" w:hAnsi="Calibri" w:cs="Calibri"/>
                <w:b/>
                <w:bCs/>
                <w:sz w:val="22"/>
                <w:szCs w:val="22"/>
                <w:lang w:val="en-US"/>
              </w:rPr>
              <w:t>’s</w:t>
            </w:r>
            <w:r>
              <w:rPr>
                <w:rFonts w:hint="default" w:ascii="Calibri" w:hAnsi="Calibri" w:cs="Calibri"/>
                <w:b/>
                <w:bCs/>
                <w:sz w:val="22"/>
                <w:szCs w:val="22"/>
              </w:rPr>
              <w:t xml:space="preserve"> Technical Resources</w:t>
            </w:r>
          </w:p>
        </w:tc>
        <w:tc>
          <w:tcPr>
            <w:tcW w:w="0" w:type="auto"/>
          </w:tcPr>
          <w:p w14:paraId="04EA9224">
            <w:pPr>
              <w:pStyle w:val="2"/>
              <w:keepNext w:val="0"/>
              <w:keepLines w:val="0"/>
              <w:widowControl/>
              <w:suppressLineNumbers w:val="0"/>
              <w:rPr>
                <w:rFonts w:hint="default" w:eastAsia="Times New Roman" w:cstheme="minorHAnsi"/>
                <w:lang w:val="en-US"/>
              </w:rPr>
            </w:pPr>
            <w:r>
              <w:rPr>
                <w:rFonts w:hint="default" w:ascii="Calibri" w:hAnsi="Calibri" w:cs="Calibri"/>
                <w:b w:val="0"/>
                <w:bCs w:val="0"/>
                <w:sz w:val="22"/>
                <w:szCs w:val="22"/>
              </w:rPr>
              <w:t xml:space="preserve">Project manager </w:t>
            </w:r>
            <w:r>
              <w:rPr>
                <w:rFonts w:hint="default" w:ascii="Calibri" w:hAnsi="Calibri" w:cs="Calibri"/>
                <w:b w:val="0"/>
                <w:bCs w:val="0"/>
                <w:sz w:val="22"/>
                <w:szCs w:val="22"/>
                <w:lang w:val="en-US"/>
              </w:rPr>
              <w:t xml:space="preserve">and </w:t>
            </w:r>
            <w:r>
              <w:rPr>
                <w:rFonts w:hint="default" w:ascii="Calibri" w:hAnsi="Calibri" w:cs="Calibri"/>
                <w:b w:val="0"/>
                <w:bCs w:val="0"/>
                <w:sz w:val="22"/>
                <w:szCs w:val="22"/>
              </w:rPr>
              <w:t>foremen</w:t>
            </w:r>
            <w:r>
              <w:rPr>
                <w:rFonts w:hint="default" w:ascii="Calibri" w:hAnsi="Calibri" w:cs="Calibri"/>
                <w:b w:val="0"/>
                <w:bCs w:val="0"/>
                <w:sz w:val="22"/>
                <w:szCs w:val="22"/>
                <w:lang w:val="en-US"/>
              </w:rPr>
              <w:t xml:space="preserve"> </w:t>
            </w:r>
            <w:r>
              <w:rPr>
                <w:rFonts w:hint="default" w:ascii="Calibri" w:hAnsi="Calibri" w:cs="Calibri"/>
                <w:b w:val="0"/>
                <w:bCs w:val="0"/>
                <w:sz w:val="22"/>
                <w:szCs w:val="22"/>
              </w:rPr>
              <w:t>experience and qualifications</w:t>
            </w:r>
            <w:r>
              <w:rPr>
                <w:rFonts w:hint="default" w:ascii="Calibri" w:hAnsi="Calibri" w:cs="Calibri"/>
                <w:b w:val="0"/>
                <w:bCs w:val="0"/>
                <w:sz w:val="22"/>
                <w:szCs w:val="22"/>
                <w:lang w:val="en-US"/>
              </w:rPr>
              <w:t>. 5 Points each</w:t>
            </w:r>
          </w:p>
        </w:tc>
        <w:tc>
          <w:tcPr>
            <w:tcW w:w="0" w:type="auto"/>
          </w:tcPr>
          <w:p w14:paraId="1BEEA4B5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10</w:t>
            </w:r>
          </w:p>
        </w:tc>
      </w:tr>
      <w:tr w14:paraId="5B46C2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 w14:paraId="739F01CF">
            <w:pPr>
              <w:spacing w:after="0" w:line="240" w:lineRule="auto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  <w:b/>
                <w:bCs/>
              </w:rPr>
              <w:t>Technical &amp; Professional Capacity</w:t>
            </w:r>
          </w:p>
        </w:tc>
        <w:tc>
          <w:tcPr>
            <w:tcW w:w="0" w:type="auto"/>
          </w:tcPr>
          <w:p w14:paraId="72E75E76">
            <w:pPr>
              <w:spacing w:after="0" w:line="240" w:lineRule="auto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Availability of qualified technical staff (COREN</w:t>
            </w:r>
            <w:r>
              <w:rPr>
                <w:rFonts w:hint="default" w:eastAsia="Times New Roman" w:cstheme="minorHAnsi"/>
                <w:lang w:val="en-US"/>
              </w:rPr>
              <w:t xml:space="preserve"> </w:t>
            </w:r>
            <w:r>
              <w:rPr>
                <w:rFonts w:eastAsia="Times New Roman" w:cstheme="minorHAnsi"/>
              </w:rPr>
              <w:t>-</w:t>
            </w:r>
            <w:r>
              <w:rPr>
                <w:rFonts w:hint="default" w:eastAsia="Times New Roman" w:cstheme="minorHAnsi"/>
                <w:lang w:val="en-US"/>
              </w:rPr>
              <w:t xml:space="preserve"> </w:t>
            </w:r>
            <w:r>
              <w:rPr>
                <w:rFonts w:eastAsia="Times New Roman" w:cstheme="minorHAnsi"/>
              </w:rPr>
              <w:t>registered Engineer or equivalent civil engineering certification)</w:t>
            </w:r>
          </w:p>
        </w:tc>
        <w:tc>
          <w:tcPr>
            <w:tcW w:w="0" w:type="auto"/>
          </w:tcPr>
          <w:p w14:paraId="1DE9765F">
            <w:pPr>
              <w:spacing w:after="0" w:line="240" w:lineRule="auto"/>
              <w:jc w:val="center"/>
              <w:rPr>
                <w:rFonts w:hint="default" w:eastAsia="Times New Roman" w:cstheme="minorHAnsi"/>
                <w:lang w:val="en-US"/>
              </w:rPr>
            </w:pPr>
            <w:r>
              <w:rPr>
                <w:rFonts w:hint="default" w:eastAsia="Times New Roman" w:cstheme="minorHAnsi"/>
                <w:lang w:val="en-US"/>
              </w:rPr>
              <w:t>25</w:t>
            </w:r>
          </w:p>
        </w:tc>
      </w:tr>
      <w:tr w14:paraId="22F57F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 w14:paraId="0E295CDA">
            <w:pPr>
              <w:spacing w:after="0" w:line="240" w:lineRule="auto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  <w:b/>
                <w:bCs/>
              </w:rPr>
              <w:t>Relevant Experience</w:t>
            </w:r>
          </w:p>
        </w:tc>
        <w:tc>
          <w:tcPr>
            <w:tcW w:w="0" w:type="auto"/>
          </w:tcPr>
          <w:p w14:paraId="18BC6B64">
            <w:pPr>
              <w:spacing w:after="0" w:line="240" w:lineRule="auto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Proven experience in similar construction/rehabilitation works with NGOs, UN agencies, embassies, or donors (maximum 2 contracts at 10 points each)</w:t>
            </w:r>
          </w:p>
        </w:tc>
        <w:tc>
          <w:tcPr>
            <w:tcW w:w="0" w:type="auto"/>
          </w:tcPr>
          <w:p w14:paraId="43DE8383">
            <w:pPr>
              <w:spacing w:after="0" w:line="240" w:lineRule="auto"/>
              <w:jc w:val="center"/>
              <w:rPr>
                <w:rFonts w:hint="default" w:eastAsia="Times New Roman" w:cstheme="minorHAnsi"/>
                <w:lang w:val="en-US"/>
              </w:rPr>
            </w:pPr>
            <w:r>
              <w:rPr>
                <w:rFonts w:eastAsia="Times New Roman" w:cstheme="minorHAnsi"/>
              </w:rPr>
              <w:t>2</w:t>
            </w:r>
            <w:r>
              <w:rPr>
                <w:rFonts w:hint="default" w:eastAsia="Times New Roman" w:cstheme="minorHAnsi"/>
                <w:lang w:val="en-US"/>
              </w:rPr>
              <w:t>0</w:t>
            </w:r>
          </w:p>
        </w:tc>
      </w:tr>
      <w:tr w14:paraId="1CFAD4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 w14:paraId="293EC789">
            <w:pPr>
              <w:spacing w:after="0" w:line="240" w:lineRule="auto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  <w:b/>
                <w:bCs/>
              </w:rPr>
              <w:t>Health &amp; Safety Management Plan</w:t>
            </w:r>
          </w:p>
        </w:tc>
        <w:tc>
          <w:tcPr>
            <w:tcW w:w="0" w:type="auto"/>
          </w:tcPr>
          <w:p w14:paraId="1DDFFE40">
            <w:pPr>
              <w:spacing w:after="0" w:line="240" w:lineRule="auto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Clear and practical HSE plan in line with humanitarian standards</w:t>
            </w:r>
          </w:p>
        </w:tc>
        <w:tc>
          <w:tcPr>
            <w:tcW w:w="0" w:type="auto"/>
          </w:tcPr>
          <w:p w14:paraId="3D30980E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10</w:t>
            </w:r>
          </w:p>
        </w:tc>
      </w:tr>
      <w:tr w14:paraId="4D5A92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 w14:paraId="0CFEB520">
            <w:pPr>
              <w:spacing w:after="0" w:line="240" w:lineRule="auto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  <w:b/>
                <w:bCs/>
              </w:rPr>
              <w:t>Work Plan &amp; Methodology</w:t>
            </w:r>
          </w:p>
        </w:tc>
        <w:tc>
          <w:tcPr>
            <w:tcW w:w="0" w:type="auto"/>
          </w:tcPr>
          <w:p w14:paraId="35C0FC72">
            <w:pPr>
              <w:spacing w:after="0" w:line="240" w:lineRule="auto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Clear, logical, and stage-by-stage implementation plan</w:t>
            </w:r>
          </w:p>
        </w:tc>
        <w:tc>
          <w:tcPr>
            <w:tcW w:w="0" w:type="auto"/>
          </w:tcPr>
          <w:p w14:paraId="759EAE77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5</w:t>
            </w:r>
          </w:p>
        </w:tc>
      </w:tr>
      <w:tr w14:paraId="17E7A1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 w14:paraId="383D5334">
            <w:pPr>
              <w:spacing w:after="0" w:line="240" w:lineRule="auto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  <w:b/>
                <w:bCs/>
              </w:rPr>
              <w:t>Total</w:t>
            </w:r>
          </w:p>
        </w:tc>
        <w:tc>
          <w:tcPr>
            <w:tcW w:w="0" w:type="auto"/>
          </w:tcPr>
          <w:p w14:paraId="209EA5DC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0" w:type="auto"/>
          </w:tcPr>
          <w:p w14:paraId="36EF9166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>
              <w:rPr>
                <w:rFonts w:hint="default" w:eastAsia="Times New Roman" w:cstheme="minorHAnsi"/>
                <w:b/>
                <w:bCs/>
                <w:sz w:val="24"/>
                <w:szCs w:val="24"/>
                <w:lang w:val="en-US"/>
              </w:rPr>
              <w:t>7</w:t>
            </w:r>
            <w:r>
              <w:rPr>
                <w:rFonts w:eastAsia="Times New Roman" w:cstheme="minorHAnsi"/>
                <w:b/>
                <w:bCs/>
                <w:sz w:val="24"/>
                <w:szCs w:val="24"/>
              </w:rPr>
              <w:t>0</w:t>
            </w:r>
          </w:p>
        </w:tc>
      </w:tr>
      <w:tr w14:paraId="01B69D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 w14:paraId="09758A24">
            <w:pPr>
              <w:spacing w:after="0" w:line="240" w:lineRule="auto"/>
              <w:rPr>
                <w:rFonts w:eastAsia="Times New Roman" w:cstheme="minorHAnsi"/>
                <w:b/>
                <w:bCs/>
              </w:rPr>
            </w:pPr>
          </w:p>
        </w:tc>
        <w:tc>
          <w:tcPr>
            <w:tcW w:w="0" w:type="auto"/>
          </w:tcPr>
          <w:p w14:paraId="5D69C0B8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0" w:type="auto"/>
          </w:tcPr>
          <w:p w14:paraId="31E89886">
            <w:pPr>
              <w:spacing w:after="0" w:line="240" w:lineRule="auto"/>
              <w:rPr>
                <w:rFonts w:eastAsia="Times New Roman" w:cstheme="minorHAnsi"/>
                <w:b/>
                <w:bCs/>
              </w:rPr>
            </w:pPr>
          </w:p>
        </w:tc>
      </w:tr>
    </w:tbl>
    <w:p w14:paraId="720CE5A9">
      <w:pPr>
        <w:spacing w:before="100" w:beforeAutospacing="1" w:after="100" w:afterAutospacing="1" w:line="240" w:lineRule="auto"/>
        <w:rPr>
          <w:rFonts w:eastAsia="Times New Roman" w:cstheme="minorHAnsi"/>
        </w:rPr>
      </w:pPr>
      <w:r>
        <w:rPr>
          <w:rFonts w:ascii="Segoe UI Symbol" w:hAnsi="Segoe UI Symbol" w:eastAsia="Times New Roman" w:cs="Segoe UI Symbol"/>
        </w:rPr>
        <w:t>🔹</w:t>
      </w:r>
      <w:r>
        <w:rPr>
          <w:rFonts w:eastAsia="Times New Roman" w:cstheme="minorHAnsi"/>
        </w:rPr>
        <w:t xml:space="preserve"> </w:t>
      </w:r>
      <w:r>
        <w:rPr>
          <w:rFonts w:eastAsia="Times New Roman" w:cstheme="minorHAnsi"/>
          <w:b/>
          <w:bCs/>
        </w:rPr>
        <w:t>Minimum Technical Threshold:</w:t>
      </w:r>
      <w:bookmarkStart w:id="0" w:name="_GoBack"/>
      <w:bookmarkEnd w:id="0"/>
      <w:r>
        <w:rPr>
          <w:rFonts w:eastAsia="Times New Roman" w:cstheme="minorHAnsi"/>
        </w:rPr>
        <w:br w:type="textWrapping"/>
      </w:r>
      <w:r>
        <w:rPr>
          <w:rFonts w:eastAsia="Times New Roman" w:cstheme="minorHAnsi"/>
        </w:rPr>
        <w:t xml:space="preserve">Only bidders scoring </w:t>
      </w:r>
      <w:r>
        <w:rPr>
          <w:rFonts w:eastAsia="Times New Roman" w:cstheme="minorHAnsi"/>
          <w:b/>
          <w:bCs/>
        </w:rPr>
        <w:t>3</w:t>
      </w:r>
      <w:r>
        <w:rPr>
          <w:rFonts w:hint="default" w:eastAsia="Times New Roman" w:cstheme="minorHAnsi"/>
          <w:b/>
          <w:bCs/>
          <w:lang w:val="en-US"/>
        </w:rPr>
        <w:t>5</w:t>
      </w:r>
      <w:r>
        <w:rPr>
          <w:rFonts w:eastAsia="Times New Roman" w:cstheme="minorHAnsi"/>
          <w:b/>
          <w:bCs/>
        </w:rPr>
        <w:t xml:space="preserve"> points or above</w:t>
      </w:r>
      <w:r>
        <w:rPr>
          <w:rFonts w:eastAsia="Times New Roman" w:cstheme="minorHAnsi"/>
        </w:rPr>
        <w:t xml:space="preserve"> shall qualify for financial evaluation.</w:t>
      </w:r>
    </w:p>
    <w:p w14:paraId="11B2AEAF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/>
          <w:bCs/>
        </w:rPr>
      </w:pPr>
      <w:r>
        <w:rPr>
          <w:rFonts w:eastAsia="Times New Roman" w:cstheme="minorHAnsi"/>
          <w:b/>
          <w:bCs/>
        </w:rPr>
        <w:t>2.3 Financial Evaluation (</w:t>
      </w:r>
      <w:r>
        <w:rPr>
          <w:rFonts w:hint="default" w:eastAsia="Times New Roman" w:cstheme="minorHAnsi"/>
          <w:b/>
          <w:bCs/>
          <w:lang w:val="en-US"/>
        </w:rPr>
        <w:t>3</w:t>
      </w:r>
      <w:r>
        <w:rPr>
          <w:rFonts w:eastAsia="Times New Roman" w:cstheme="minorHAnsi"/>
          <w:b/>
          <w:bCs/>
        </w:rPr>
        <w:t>0 Points)</w:t>
      </w:r>
    </w:p>
    <w:p w14:paraId="2F3681C1">
      <w:pPr>
        <w:spacing w:before="100" w:beforeAutospacing="1" w:after="100" w:afterAutospacing="1" w:line="240" w:lineRule="auto"/>
        <w:rPr>
          <w:rFonts w:eastAsia="Times New Roman" w:cstheme="minorHAnsi"/>
        </w:rPr>
      </w:pPr>
      <w:r>
        <w:rPr>
          <w:rFonts w:eastAsia="Times New Roman" w:cstheme="minorHAnsi"/>
        </w:rPr>
        <w:t xml:space="preserve">The financial evaluation shall be based on the costs provided in </w:t>
      </w:r>
      <w:r>
        <w:rPr>
          <w:rFonts w:eastAsia="Times New Roman" w:cstheme="minorHAnsi"/>
          <w:b/>
          <w:bCs/>
        </w:rPr>
        <w:t>Annex B (Bill of Quantities)</w:t>
      </w:r>
      <w:r>
        <w:rPr>
          <w:rFonts w:eastAsia="Times New Roman" w:cstheme="minorHAnsi"/>
        </w:rPr>
        <w:t>.</w:t>
      </w:r>
    </w:p>
    <w:p w14:paraId="29C1EE31">
      <w:pPr>
        <w:spacing w:before="100" w:beforeAutospacing="1" w:after="100" w:afterAutospacing="1" w:line="240" w:lineRule="auto"/>
        <w:rPr>
          <w:rFonts w:eastAsia="Times New Roman" w:cstheme="minorHAnsi"/>
        </w:rPr>
      </w:pPr>
      <w:r>
        <w:rPr>
          <w:rFonts w:eastAsia="Times New Roman" w:cstheme="minorHAnsi"/>
          <w:b/>
          <w:bCs/>
        </w:rPr>
        <w:t>Scoring Formula:</w:t>
      </w:r>
      <w:r>
        <w:rPr>
          <w:rFonts w:eastAsia="Times New Roman" w:cstheme="minorHAnsi"/>
        </w:rPr>
        <w:br w:type="textWrapping"/>
      </w:r>
      <w:r>
        <w:rPr>
          <w:rFonts w:eastAsia="Times New Roman" w:cstheme="minorHAnsi"/>
        </w:rPr>
        <w:t xml:space="preserve">Lowest evaluated bid × </w:t>
      </w:r>
      <w:r>
        <w:rPr>
          <w:rFonts w:hint="default" w:eastAsia="Times New Roman" w:cstheme="minorHAnsi"/>
          <w:lang w:val="en-US"/>
        </w:rPr>
        <w:t>3</w:t>
      </w:r>
      <w:r>
        <w:rPr>
          <w:rFonts w:eastAsia="Times New Roman" w:cstheme="minorHAnsi"/>
        </w:rPr>
        <w:t>0</w:t>
      </w:r>
      <w:r>
        <w:rPr>
          <w:rFonts w:eastAsia="Times New Roman" w:cstheme="minorHAnsi"/>
        </w:rPr>
        <w:br w:type="textWrapping"/>
      </w:r>
      <w:r>
        <w:rPr>
          <w:rFonts w:eastAsia="Times New Roman" w:cstheme="minorHAnsi"/>
        </w:rPr>
        <w:t>———————————————</w:t>
      </w:r>
      <w:r>
        <w:rPr>
          <w:rFonts w:eastAsia="Times New Roman" w:cstheme="minorHAnsi"/>
        </w:rPr>
        <w:br w:type="textWrapping"/>
      </w:r>
      <w:r>
        <w:rPr>
          <w:rFonts w:eastAsia="Times New Roman" w:cstheme="minorHAnsi"/>
        </w:rPr>
        <w:t>Bidder’s evaluated bid</w:t>
      </w:r>
    </w:p>
    <w:p w14:paraId="1ACC4B74">
      <w:pPr>
        <w:spacing w:before="100" w:beforeAutospacing="1" w:after="100" w:afterAutospacing="1" w:line="240" w:lineRule="auto"/>
        <w:rPr>
          <w:rFonts w:eastAsia="Times New Roman" w:cstheme="minorHAnsi"/>
        </w:rPr>
      </w:pPr>
      <w:r>
        <w:rPr>
          <w:rFonts w:eastAsia="Times New Roman" w:cstheme="minorHAnsi"/>
        </w:rPr>
        <w:t xml:space="preserve">Bidders are advised to submit </w:t>
      </w:r>
      <w:r>
        <w:rPr>
          <w:rFonts w:eastAsia="Times New Roman" w:cstheme="minorHAnsi"/>
          <w:b/>
          <w:bCs/>
        </w:rPr>
        <w:t>realistic and market-based prices</w:t>
      </w:r>
      <w:r>
        <w:rPr>
          <w:rFonts w:eastAsia="Times New Roman" w:cstheme="minorHAnsi"/>
        </w:rPr>
        <w:t>. Abnormally low or unrealistic bids may be rejected.</w:t>
      </w:r>
    </w:p>
    <w:p w14:paraId="2F002D79">
      <w:pPr>
        <w:spacing w:before="100" w:beforeAutospacing="1" w:after="100" w:afterAutospacing="1" w:line="240" w:lineRule="auto"/>
        <w:rPr>
          <w:rFonts w:eastAsia="Times New Roman" w:cstheme="minorHAnsi"/>
        </w:rPr>
      </w:pPr>
      <w:r>
        <w:rPr>
          <w:rFonts w:eastAsia="Times New Roman" w:cstheme="minorHAnsi"/>
        </w:rPr>
        <w:t xml:space="preserve">GISCOR reserves the right, subject to budget availability, to award the contract for </w:t>
      </w:r>
      <w:r>
        <w:rPr>
          <w:rFonts w:eastAsia="Times New Roman" w:cstheme="minorHAnsi"/>
          <w:b/>
          <w:bCs/>
        </w:rPr>
        <w:t>all or part of the scope of work</w:t>
      </w:r>
      <w:r>
        <w:rPr>
          <w:rFonts w:eastAsia="Times New Roman" w:cstheme="minorHAnsi"/>
        </w:rPr>
        <w:t>. Where a bidder declines partial award, the contract may be offered to the next ranked bidder.</w:t>
      </w:r>
    </w:p>
    <w:p w14:paraId="454F276B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/>
          <w:bCs/>
        </w:rPr>
      </w:pPr>
      <w:r>
        <w:rPr>
          <w:rFonts w:eastAsia="Times New Roman" w:cstheme="minorHAnsi"/>
          <w:b/>
          <w:bCs/>
        </w:rPr>
        <w:t>2.4 Final Evaluation and Award</w:t>
      </w:r>
    </w:p>
    <w:p w14:paraId="7B3AF086">
      <w:pPr>
        <w:spacing w:before="100" w:beforeAutospacing="1" w:after="100" w:afterAutospacing="1" w:line="240" w:lineRule="auto"/>
        <w:rPr>
          <w:rFonts w:eastAsia="Times New Roman" w:cstheme="minorHAnsi"/>
        </w:rPr>
      </w:pPr>
      <w:r>
        <w:rPr>
          <w:rFonts w:eastAsia="Times New Roman" w:cstheme="minorHAnsi"/>
        </w:rPr>
        <w:t>The final score shall be calculated as follows:</w:t>
      </w:r>
    </w:p>
    <w:p w14:paraId="77353992">
      <w:pPr>
        <w:spacing w:before="100" w:beforeAutospacing="1" w:after="100" w:afterAutospacing="1" w:line="240" w:lineRule="auto"/>
        <w:rPr>
          <w:rFonts w:eastAsia="Times New Roman" w:cstheme="minorHAnsi"/>
        </w:rPr>
      </w:pPr>
      <w:r>
        <w:rPr>
          <w:rFonts w:eastAsia="Times New Roman" w:cstheme="minorHAnsi"/>
          <w:b/>
          <w:bCs/>
        </w:rPr>
        <w:t>Final Score = Technical Score + Financial Score</w:t>
      </w:r>
    </w:p>
    <w:p w14:paraId="4225960B">
      <w:pPr>
        <w:spacing w:before="100" w:beforeAutospacing="1" w:after="100" w:afterAutospacing="1" w:line="240" w:lineRule="auto"/>
        <w:rPr>
          <w:rFonts w:eastAsia="Times New Roman" w:cstheme="minorHAnsi"/>
        </w:rPr>
      </w:pPr>
      <w:r>
        <w:rPr>
          <w:rFonts w:eastAsia="Times New Roman" w:cstheme="minorHAnsi"/>
        </w:rPr>
        <w:t xml:space="preserve">The contract shall be awarded to the bidder with the </w:t>
      </w:r>
      <w:r>
        <w:rPr>
          <w:rFonts w:eastAsia="Times New Roman" w:cstheme="minorHAnsi"/>
          <w:b/>
          <w:bCs/>
        </w:rPr>
        <w:t>highest combined score</w:t>
      </w:r>
      <w:r>
        <w:rPr>
          <w:rFonts w:eastAsia="Times New Roman" w:cstheme="minorHAnsi"/>
        </w:rPr>
        <w:t>.</w:t>
      </w:r>
      <w:r>
        <w:rPr>
          <w:rFonts w:eastAsia="Times New Roman" w:cstheme="minorHAnsi"/>
        </w:rPr>
        <w:br w:type="textWrapping"/>
      </w:r>
      <w:r>
        <w:rPr>
          <w:rFonts w:eastAsia="Times New Roman" w:cstheme="minorHAnsi"/>
        </w:rPr>
        <w:t xml:space="preserve">In the event of a tie, the bidder with the </w:t>
      </w:r>
      <w:r>
        <w:rPr>
          <w:rFonts w:eastAsia="Times New Roman" w:cstheme="minorHAnsi"/>
          <w:b/>
          <w:bCs/>
        </w:rPr>
        <w:t>lowest financial offer</w:t>
      </w:r>
      <w:r>
        <w:rPr>
          <w:rFonts w:eastAsia="Times New Roman" w:cstheme="minorHAnsi"/>
        </w:rPr>
        <w:t xml:space="preserve"> shall be selected.</w:t>
      </w:r>
    </w:p>
    <w:p w14:paraId="6E6F4D96">
      <w:pPr>
        <w:spacing w:before="100" w:beforeAutospacing="1" w:after="100" w:afterAutospacing="1" w:line="240" w:lineRule="auto"/>
        <w:rPr>
          <w:rFonts w:eastAsia="Times New Roman" w:cstheme="minorHAnsi"/>
        </w:rPr>
      </w:pPr>
      <w:r>
        <w:rPr>
          <w:rFonts w:eastAsia="Times New Roman" w:cstheme="minorHAnsi"/>
        </w:rPr>
        <w:t xml:space="preserve">GISCOR reserves the right to enter into </w:t>
      </w:r>
      <w:r>
        <w:rPr>
          <w:rFonts w:eastAsia="Times New Roman" w:cstheme="minorHAnsi"/>
          <w:b/>
          <w:bCs/>
        </w:rPr>
        <w:t>contract agreements</w:t>
      </w:r>
      <w:r>
        <w:rPr>
          <w:rFonts w:eastAsia="Times New Roman" w:cstheme="minorHAnsi"/>
        </w:rPr>
        <w:t xml:space="preserve"> with one or more suppliers for similar services.</w:t>
      </w:r>
    </w:p>
    <w:p w14:paraId="3011BC35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/>
          <w:bCs/>
        </w:rPr>
      </w:pPr>
      <w:r>
        <w:rPr>
          <w:rFonts w:eastAsia="Times New Roman" w:cstheme="minorHAnsi"/>
          <w:b/>
          <w:bCs/>
        </w:rPr>
        <w:t>2.5 Bidder’s Submission Checklist</w:t>
      </w:r>
    </w:p>
    <w:p w14:paraId="3D335D6F">
      <w:pPr>
        <w:spacing w:before="100" w:beforeAutospacing="1" w:after="100" w:afterAutospacing="1" w:line="240" w:lineRule="auto"/>
        <w:rPr>
          <w:rFonts w:eastAsia="Times New Roman" w:cstheme="minorHAnsi"/>
        </w:rPr>
      </w:pPr>
      <w:r>
        <w:rPr>
          <w:rFonts w:eastAsia="Times New Roman" w:cstheme="minorHAnsi"/>
        </w:rPr>
        <w:t>Before submission, bidders are advised to ensure that all required documents are included:</w:t>
      </w:r>
    </w:p>
    <w:p w14:paraId="6332CC3C">
      <w:pPr>
        <w:spacing w:before="100" w:beforeAutospacing="1" w:after="100" w:afterAutospacing="1" w:line="240" w:lineRule="auto"/>
        <w:rPr>
          <w:rFonts w:eastAsia="Times New Roman" w:cstheme="minorHAnsi"/>
        </w:rPr>
      </w:pPr>
      <w:r>
        <w:rPr>
          <w:rFonts w:eastAsia="Times New Roman" w:cstheme="minorHAnsi"/>
        </w:rPr>
        <w:t>• Stamped Supplier Registration Form (Annex A)</w:t>
      </w:r>
      <w:r>
        <w:rPr>
          <w:rFonts w:eastAsia="Times New Roman" w:cstheme="minorHAnsi"/>
        </w:rPr>
        <w:br w:type="textWrapping"/>
      </w:r>
      <w:r>
        <w:rPr>
          <w:rFonts w:eastAsia="Times New Roman" w:cstheme="minorHAnsi"/>
        </w:rPr>
        <w:t>• Stamped Bill of Quantities (Annex B – Rehabilitation of Viewing Centre)</w:t>
      </w:r>
      <w:r>
        <w:rPr>
          <w:rFonts w:eastAsia="Times New Roman" w:cstheme="minorHAnsi"/>
        </w:rPr>
        <w:br w:type="textWrapping"/>
      </w:r>
      <w:r>
        <w:rPr>
          <w:rFonts w:eastAsia="Times New Roman" w:cstheme="minorHAnsi"/>
        </w:rPr>
        <w:t>• Stamped Technical Drawings and Work Plan (Annex C)</w:t>
      </w:r>
      <w:r>
        <w:rPr>
          <w:rFonts w:eastAsia="Times New Roman" w:cstheme="minorHAnsi"/>
        </w:rPr>
        <w:br w:type="textWrapping"/>
      </w:r>
      <w:r>
        <w:rPr>
          <w:rFonts w:eastAsia="Times New Roman" w:cstheme="minorHAnsi"/>
        </w:rPr>
        <w:t>• Stamped Financial Offer / Unit Cost Form (Annex D)</w:t>
      </w:r>
      <w:r>
        <w:rPr>
          <w:rFonts w:eastAsia="Times New Roman" w:cstheme="minorHAnsi"/>
        </w:rPr>
        <w:br w:type="textWrapping"/>
      </w:r>
      <w:r>
        <w:rPr>
          <w:rFonts w:eastAsia="Times New Roman" w:cstheme="minorHAnsi"/>
        </w:rPr>
        <w:t>• Valid Tax Clearance Certificate</w:t>
      </w:r>
      <w:r>
        <w:rPr>
          <w:rFonts w:eastAsia="Times New Roman" w:cstheme="minorHAnsi"/>
        </w:rPr>
        <w:br w:type="textWrapping"/>
      </w:r>
      <w:r>
        <w:rPr>
          <w:rFonts w:eastAsia="Times New Roman" w:cstheme="minorHAnsi"/>
        </w:rPr>
        <w:t>• CAC Registration, Company Profile, and TIN</w:t>
      </w:r>
      <w:r>
        <w:rPr>
          <w:rFonts w:eastAsia="Times New Roman" w:cstheme="minorHAnsi"/>
        </w:rPr>
        <w:br w:type="textWrapping"/>
      </w:r>
      <w:r>
        <w:rPr>
          <w:rFonts w:eastAsia="Times New Roman" w:cstheme="minorHAnsi"/>
        </w:rPr>
        <w:t>• Health and Safety Management Plan</w:t>
      </w:r>
      <w:r>
        <w:rPr>
          <w:rFonts w:eastAsia="Times New Roman" w:cstheme="minorHAnsi"/>
        </w:rPr>
        <w:br w:type="textWrapping"/>
      </w:r>
      <w:r>
        <w:rPr>
          <w:rFonts w:eastAsia="Times New Roman" w:cstheme="minorHAnsi"/>
        </w:rPr>
        <w:t>• Evidence of similar works with NGOs/UN agencies</w:t>
      </w:r>
      <w:r>
        <w:rPr>
          <w:rFonts w:eastAsia="Times New Roman" w:cstheme="minorHAnsi"/>
        </w:rPr>
        <w:br w:type="textWrapping"/>
      </w:r>
      <w:r>
        <w:rPr>
          <w:rFonts w:eastAsia="Times New Roman" w:cstheme="minorHAnsi"/>
        </w:rPr>
        <w:t>• COREN Certificate of proposed Site Engineer (where applicable)</w:t>
      </w:r>
    </w:p>
    <w:p w14:paraId="4CF0F03F">
      <w:pPr>
        <w:spacing w:before="100" w:beforeAutospacing="1" w:after="100" w:afterAutospacing="1" w:line="240" w:lineRule="auto"/>
        <w:rPr>
          <w:rFonts w:eastAsia="Times New Roman" w:cstheme="minorHAnsi"/>
        </w:rPr>
      </w:pPr>
      <w:r>
        <w:rPr>
          <w:rFonts w:ascii="Segoe UI Symbol" w:hAnsi="Segoe UI Symbol" w:eastAsia="Times New Roman" w:cs="Segoe UI Symbol"/>
        </w:rPr>
        <w:t>📌</w:t>
      </w:r>
      <w:r>
        <w:rPr>
          <w:rFonts w:eastAsia="Times New Roman" w:cstheme="minorHAnsi"/>
        </w:rPr>
        <w:t xml:space="preserve"> </w:t>
      </w:r>
      <w:r>
        <w:rPr>
          <w:rFonts w:eastAsia="Times New Roman" w:cstheme="minorHAnsi"/>
          <w:i/>
          <w:iCs/>
        </w:rPr>
        <w:t>Bidders are encouraged to provide clear contact details, including an active email address.</w:t>
      </w:r>
    </w:p>
    <w:p w14:paraId="2C823958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/>
          <w:bCs/>
        </w:rPr>
      </w:pPr>
      <w:r>
        <w:rPr>
          <w:rFonts w:eastAsia="Times New Roman" w:cstheme="minorHAnsi"/>
          <w:b/>
          <w:bCs/>
        </w:rPr>
        <w:t>2.6 Ethics and Labour Standards</w:t>
      </w:r>
    </w:p>
    <w:p w14:paraId="19A57E68">
      <w:pPr>
        <w:spacing w:before="100" w:beforeAutospacing="1" w:after="100" w:afterAutospacing="1" w:line="240" w:lineRule="auto"/>
        <w:rPr>
          <w:rFonts w:eastAsia="Times New Roman" w:cstheme="minorHAnsi"/>
        </w:rPr>
      </w:pPr>
      <w:r>
        <w:rPr>
          <w:rFonts w:eastAsia="Times New Roman" w:cstheme="minorHAnsi"/>
        </w:rPr>
        <w:t xml:space="preserve">All bidders and contractors shall comply with the </w:t>
      </w:r>
      <w:r>
        <w:rPr>
          <w:rFonts w:eastAsia="Times New Roman" w:cstheme="minorHAnsi"/>
          <w:bCs/>
        </w:rPr>
        <w:t>International Labour Organization (ILO) conventions</w:t>
      </w:r>
      <w:r>
        <w:rPr>
          <w:rFonts w:eastAsia="Times New Roman" w:cstheme="minorHAnsi"/>
        </w:rPr>
        <w:t>, including but not limited to:</w:t>
      </w:r>
    </w:p>
    <w:p w14:paraId="19A2186A">
      <w:pPr>
        <w:spacing w:before="100" w:beforeAutospacing="1" w:after="100" w:afterAutospacing="1" w:line="240" w:lineRule="auto"/>
        <w:rPr>
          <w:rFonts w:eastAsia="Times New Roman" w:cstheme="minorHAnsi"/>
        </w:rPr>
      </w:pPr>
      <w:r>
        <w:rPr>
          <w:rFonts w:eastAsia="Times New Roman" w:cstheme="minorHAnsi"/>
        </w:rPr>
        <w:t>a) Prohibition of forced or compulsory labour</w:t>
      </w:r>
      <w:r>
        <w:rPr>
          <w:rFonts w:eastAsia="Times New Roman" w:cstheme="minorHAnsi"/>
        </w:rPr>
        <w:br w:type="textWrapping"/>
      </w:r>
      <w:r>
        <w:rPr>
          <w:rFonts w:eastAsia="Times New Roman" w:cstheme="minorHAnsi"/>
        </w:rPr>
        <w:t>b) Respect for freedom of association and collective bargaining</w:t>
      </w:r>
      <w:r>
        <w:rPr>
          <w:rFonts w:eastAsia="Times New Roman" w:cstheme="minorHAnsi"/>
        </w:rPr>
        <w:br w:type="textWrapping"/>
      </w:r>
      <w:r>
        <w:rPr>
          <w:rFonts w:eastAsia="Times New Roman" w:cstheme="minorHAnsi"/>
        </w:rPr>
        <w:t>c) Provision of safe and hygienic working conditions</w:t>
      </w:r>
      <w:r>
        <w:rPr>
          <w:rFonts w:eastAsia="Times New Roman" w:cstheme="minorHAnsi"/>
        </w:rPr>
        <w:br w:type="textWrapping"/>
      </w:r>
      <w:r>
        <w:rPr>
          <w:rFonts w:eastAsia="Times New Roman" w:cstheme="minorHAnsi"/>
        </w:rPr>
        <w:t>d) Prohibition of child labour</w:t>
      </w:r>
      <w:r>
        <w:rPr>
          <w:rFonts w:eastAsia="Times New Roman" w:cstheme="minorHAnsi"/>
        </w:rPr>
        <w:br w:type="textWrapping"/>
      </w:r>
      <w:r>
        <w:rPr>
          <w:rFonts w:eastAsia="Times New Roman" w:cstheme="minorHAnsi"/>
        </w:rPr>
        <w:t>e) Payment of fair and legal wages</w:t>
      </w:r>
      <w:r>
        <w:rPr>
          <w:rFonts w:eastAsia="Times New Roman" w:cstheme="minorHAnsi"/>
        </w:rPr>
        <w:br w:type="textWrapping"/>
      </w:r>
      <w:r>
        <w:rPr>
          <w:rFonts w:eastAsia="Times New Roman" w:cstheme="minorHAnsi"/>
        </w:rPr>
        <w:t>f) Reasonable working hours</w:t>
      </w:r>
      <w:r>
        <w:rPr>
          <w:rFonts w:eastAsia="Times New Roman" w:cstheme="minorHAnsi"/>
        </w:rPr>
        <w:br w:type="textWrapping"/>
      </w:r>
      <w:r>
        <w:rPr>
          <w:rFonts w:eastAsia="Times New Roman" w:cstheme="minorHAnsi"/>
        </w:rPr>
        <w:t>g) Non-discrimination</w:t>
      </w:r>
      <w:r>
        <w:rPr>
          <w:rFonts w:eastAsia="Times New Roman" w:cstheme="minorHAnsi"/>
        </w:rPr>
        <w:br w:type="textWrapping"/>
      </w:r>
      <w:r>
        <w:rPr>
          <w:rFonts w:eastAsia="Times New Roman" w:cstheme="minorHAnsi"/>
        </w:rPr>
        <w:t>h) Prohibition of harassment, abuse, or inhumane treatment</w:t>
      </w:r>
    </w:p>
    <w:p w14:paraId="5A3BA1B8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/>
          <w:bCs/>
        </w:rPr>
      </w:pPr>
      <w:r>
        <w:rPr>
          <w:rFonts w:eastAsia="Times New Roman" w:cstheme="minorHAnsi"/>
          <w:b/>
          <w:bCs/>
        </w:rPr>
        <w:t>2.7 Environmental and Safety Standards</w:t>
      </w:r>
    </w:p>
    <w:p w14:paraId="4C0EA954">
      <w:pPr>
        <w:spacing w:before="100" w:beforeAutospacing="1" w:after="100" w:afterAutospacing="1" w:line="240" w:lineRule="auto"/>
        <w:rPr>
          <w:rFonts w:eastAsia="Times New Roman" w:cstheme="minorHAnsi"/>
        </w:rPr>
      </w:pPr>
      <w:r>
        <w:rPr>
          <w:rFonts w:eastAsia="Times New Roman" w:cstheme="minorHAnsi"/>
        </w:rPr>
        <w:t>Suppliers must comply with applicable environmental laws and donor environmental safeguards, including:</w:t>
      </w:r>
    </w:p>
    <w:p w14:paraId="6D4584AE">
      <w:pPr>
        <w:spacing w:before="100" w:beforeAutospacing="1" w:after="100" w:afterAutospacing="1" w:line="240" w:lineRule="auto"/>
        <w:rPr>
          <w:rFonts w:eastAsia="Times New Roman" w:cstheme="minorHAnsi"/>
        </w:rPr>
      </w:pPr>
      <w:r>
        <w:rPr>
          <w:rFonts w:eastAsia="Times New Roman" w:cstheme="minorHAnsi"/>
        </w:rPr>
        <w:t>• Proper waste management and disposal</w:t>
      </w:r>
      <w:r>
        <w:rPr>
          <w:rFonts w:eastAsia="Times New Roman" w:cstheme="minorHAnsi"/>
        </w:rPr>
        <w:br w:type="textWrapping"/>
      </w:r>
      <w:r>
        <w:rPr>
          <w:rFonts w:eastAsia="Times New Roman" w:cstheme="minorHAnsi"/>
        </w:rPr>
        <w:t>• Pollution prevention (air, soil, and water)</w:t>
      </w:r>
      <w:r>
        <w:rPr>
          <w:rFonts w:eastAsia="Times New Roman" w:cstheme="minorHAnsi"/>
        </w:rPr>
        <w:br w:type="textWrapping"/>
      </w:r>
      <w:r>
        <w:rPr>
          <w:rFonts w:eastAsia="Times New Roman" w:cstheme="minorHAnsi"/>
        </w:rPr>
        <w:t>• Efficient use of energy and resources</w:t>
      </w:r>
      <w:r>
        <w:rPr>
          <w:rFonts w:eastAsia="Times New Roman" w:cstheme="minorHAnsi"/>
        </w:rPr>
        <w:br w:type="textWrapping"/>
      </w:r>
      <w:r>
        <w:rPr>
          <w:rFonts w:eastAsia="Times New Roman" w:cstheme="minorHAnsi"/>
        </w:rPr>
        <w:t>• Safe transport and handling of materials</w:t>
      </w:r>
    </w:p>
    <w:p w14:paraId="3B4FD1D0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/>
          <w:bCs/>
        </w:rPr>
      </w:pPr>
      <w:r>
        <w:rPr>
          <w:rFonts w:eastAsia="Times New Roman" w:cstheme="minorHAnsi"/>
          <w:b/>
          <w:bCs/>
        </w:rPr>
        <w:t>2.8 Business Conduct and Exclusions</w:t>
      </w:r>
    </w:p>
    <w:p w14:paraId="6FDE3AEE">
      <w:pPr>
        <w:spacing w:before="100" w:beforeAutospacing="1" w:after="100" w:afterAutospacing="1" w:line="240" w:lineRule="auto"/>
        <w:rPr>
          <w:rFonts w:eastAsia="Times New Roman" w:cstheme="minorHAnsi"/>
        </w:rPr>
      </w:pPr>
      <w:r>
        <w:rPr>
          <w:rFonts w:eastAsia="Times New Roman" w:cstheme="minorHAnsi"/>
        </w:rPr>
        <w:t>Suppliers must respect the rights and dignity of GISCOR beneficiaries and staff.</w:t>
      </w:r>
    </w:p>
    <w:p w14:paraId="7E6978DA">
      <w:pPr>
        <w:spacing w:before="100" w:beforeAutospacing="1" w:after="100" w:afterAutospacing="1" w:line="240" w:lineRule="auto"/>
        <w:rPr>
          <w:rFonts w:eastAsia="Times New Roman" w:cstheme="minorHAnsi"/>
        </w:rPr>
      </w:pPr>
      <w:r>
        <w:rPr>
          <w:rFonts w:eastAsia="Times New Roman" w:cstheme="minorHAnsi"/>
        </w:rPr>
        <w:t>GISCOR shall not engage suppliers involved in:</w:t>
      </w:r>
      <w:r>
        <w:rPr>
          <w:rFonts w:eastAsia="Times New Roman" w:cstheme="minorHAnsi"/>
        </w:rPr>
        <w:br w:type="textWrapping"/>
      </w:r>
      <w:r>
        <w:rPr>
          <w:rFonts w:eastAsia="Times New Roman" w:cstheme="minorHAnsi"/>
        </w:rPr>
        <w:t>a) Manufacture of weapons</w:t>
      </w:r>
      <w:r>
        <w:rPr>
          <w:rFonts w:eastAsia="Times New Roman" w:cstheme="minorHAnsi"/>
        </w:rPr>
        <w:br w:type="textWrapping"/>
      </w:r>
      <w:r>
        <w:rPr>
          <w:rFonts w:eastAsia="Times New Roman" w:cstheme="minorHAnsi"/>
        </w:rPr>
        <w:t>b) Sale of arms to parties engaged in human rights violations or armed conflict</w:t>
      </w:r>
    </w:p>
    <w:p w14:paraId="4CD4A325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/>
          <w:bCs/>
        </w:rPr>
      </w:pPr>
      <w:r>
        <w:rPr>
          <w:rFonts w:eastAsia="Times New Roman" w:cstheme="minorHAnsi"/>
          <w:b/>
          <w:bCs/>
        </w:rPr>
        <w:t>2.9 Cancellation of Tender Procedure</w:t>
      </w:r>
    </w:p>
    <w:p w14:paraId="717B81D2">
      <w:pPr>
        <w:spacing w:before="100" w:beforeAutospacing="1" w:after="100" w:afterAutospacing="1" w:line="240" w:lineRule="auto"/>
        <w:rPr>
          <w:rFonts w:eastAsia="Times New Roman" w:cstheme="minorHAnsi"/>
        </w:rPr>
      </w:pPr>
      <w:r>
        <w:rPr>
          <w:rFonts w:eastAsia="Times New Roman" w:cstheme="minorHAnsi"/>
        </w:rPr>
        <w:t>GISCOR reserves the right to cancel the tender process at any stage without liability, including where:</w:t>
      </w:r>
    </w:p>
    <w:p w14:paraId="1916D7D3">
      <w:pPr>
        <w:spacing w:before="100" w:beforeAutospacing="1" w:after="100" w:afterAutospacing="1" w:line="240" w:lineRule="auto"/>
        <w:rPr>
          <w:rFonts w:eastAsia="Times New Roman" w:cstheme="minorHAnsi"/>
        </w:rPr>
      </w:pPr>
      <w:r>
        <w:rPr>
          <w:rFonts w:eastAsia="Times New Roman" w:cstheme="minorHAnsi"/>
        </w:rPr>
        <w:t>• No technically or financially responsive bids are received</w:t>
      </w:r>
      <w:r>
        <w:rPr>
          <w:rFonts w:eastAsia="Times New Roman" w:cstheme="minorHAnsi"/>
        </w:rPr>
        <w:br w:type="textWrapping"/>
      </w:r>
      <w:r>
        <w:rPr>
          <w:rFonts w:eastAsia="Times New Roman" w:cstheme="minorHAnsi"/>
        </w:rPr>
        <w:t>• Project parameters change significantly</w:t>
      </w:r>
      <w:r>
        <w:rPr>
          <w:rFonts w:eastAsia="Times New Roman" w:cstheme="minorHAnsi"/>
        </w:rPr>
        <w:br w:type="textWrapping"/>
      </w:r>
      <w:r>
        <w:rPr>
          <w:rFonts w:eastAsia="Times New Roman" w:cstheme="minorHAnsi"/>
        </w:rPr>
        <w:t>• Force majeure or exceptional circumstances occur</w:t>
      </w:r>
      <w:r>
        <w:rPr>
          <w:rFonts w:eastAsia="Times New Roman" w:cstheme="minorHAnsi"/>
        </w:rPr>
        <w:br w:type="textWrapping"/>
      </w:r>
      <w:r>
        <w:rPr>
          <w:rFonts w:eastAsia="Times New Roman" w:cstheme="minorHAnsi"/>
        </w:rPr>
        <w:t>• All compliant bids exceed available budget</w:t>
      </w:r>
      <w:r>
        <w:rPr>
          <w:rFonts w:eastAsia="Times New Roman" w:cstheme="minorHAnsi"/>
        </w:rPr>
        <w:br w:type="textWrapping"/>
      </w:r>
      <w:r>
        <w:rPr>
          <w:rFonts w:eastAsia="Times New Roman" w:cstheme="minorHAnsi"/>
        </w:rPr>
        <w:t>• Fraud, irregularities, or errors affecting fair competition are identified</w:t>
      </w:r>
    </w:p>
    <w:p w14:paraId="50E630C8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/>
          <w:bCs/>
        </w:rPr>
      </w:pPr>
      <w:r>
        <w:rPr>
          <w:rFonts w:eastAsia="Times New Roman" w:cstheme="minorHAnsi"/>
          <w:b/>
          <w:bCs/>
        </w:rPr>
        <w:t>Section 3: Conditions for Submission</w:t>
      </w:r>
    </w:p>
    <w:p w14:paraId="70C451BA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</w:rPr>
      </w:pPr>
      <w:r>
        <w:rPr>
          <w:rFonts w:eastAsia="Times New Roman" w:cstheme="minorHAnsi"/>
          <w:b/>
          <w:bCs/>
        </w:rPr>
        <w:t>3.1 Submission Address</w:t>
      </w:r>
    </w:p>
    <w:p w14:paraId="7802CB18">
      <w:pPr>
        <w:spacing w:before="100" w:beforeAutospacing="1" w:after="100" w:afterAutospacing="1" w:line="240" w:lineRule="auto"/>
        <w:rPr>
          <w:rFonts w:eastAsia="Times New Roman" w:cstheme="minorHAnsi"/>
        </w:rPr>
      </w:pPr>
      <w:r>
        <w:rPr>
          <w:rFonts w:eastAsia="Times New Roman" w:cstheme="minorHAnsi"/>
        </w:rPr>
        <w:t xml:space="preserve">Completed bids must be submitted </w:t>
      </w:r>
      <w:r>
        <w:rPr>
          <w:rFonts w:eastAsia="Times New Roman" w:cstheme="minorHAnsi"/>
          <w:b/>
          <w:bCs/>
        </w:rPr>
        <w:t>in a sealed envelope</w:t>
      </w:r>
      <w:r>
        <w:rPr>
          <w:rFonts w:eastAsia="Times New Roman" w:cstheme="minorHAnsi"/>
        </w:rPr>
        <w:t xml:space="preserve"> to:</w:t>
      </w:r>
    </w:p>
    <w:p w14:paraId="0F42111C">
      <w:pPr>
        <w:spacing w:before="100" w:beforeAutospacing="1" w:after="100" w:afterAutospacing="1" w:line="240" w:lineRule="auto"/>
        <w:rPr>
          <w:rFonts w:eastAsia="Times New Roman" w:cstheme="minorHAnsi"/>
        </w:rPr>
      </w:pPr>
      <w:r>
        <w:rPr>
          <w:rFonts w:eastAsia="Times New Roman" w:cstheme="minorHAnsi"/>
          <w:b/>
          <w:bCs/>
        </w:rPr>
        <w:t>GISCOR Office</w:t>
      </w:r>
      <w:r>
        <w:rPr>
          <w:rFonts w:eastAsia="Times New Roman" w:cstheme="minorHAnsi"/>
        </w:rPr>
        <w:br w:type="textWrapping"/>
      </w:r>
      <w:r>
        <w:rPr>
          <w:rFonts w:eastAsia="Times New Roman" w:cstheme="minorHAnsi"/>
        </w:rPr>
        <w:t>Plot No. 174, Off Damboa Road,</w:t>
      </w:r>
      <w:r>
        <w:rPr>
          <w:rFonts w:eastAsia="Times New Roman" w:cstheme="minorHAnsi"/>
        </w:rPr>
        <w:br w:type="textWrapping"/>
      </w:r>
      <w:r>
        <w:rPr>
          <w:rFonts w:eastAsia="Times New Roman" w:cstheme="minorHAnsi"/>
        </w:rPr>
        <w:t>Adamawa Street, Opposite Nanne and Boi Hotel,</w:t>
      </w:r>
      <w:r>
        <w:rPr>
          <w:rFonts w:eastAsia="Times New Roman" w:cstheme="minorHAnsi"/>
        </w:rPr>
        <w:br w:type="textWrapping"/>
      </w:r>
      <w:r>
        <w:rPr>
          <w:rFonts w:eastAsia="Times New Roman" w:cstheme="minorHAnsi"/>
        </w:rPr>
        <w:t>Extension, Maiduguri, Borno State, Nigeria.</w:t>
      </w:r>
    </w:p>
    <w:p w14:paraId="43C6E825">
      <w:pPr>
        <w:spacing w:before="100" w:beforeAutospacing="1" w:after="100" w:afterAutospacing="1" w:line="240" w:lineRule="auto"/>
        <w:rPr>
          <w:rFonts w:eastAsia="Times New Roman" w:cstheme="minorHAnsi"/>
        </w:rPr>
      </w:pPr>
      <w:r>
        <w:rPr>
          <w:rFonts w:eastAsia="Times New Roman" w:cstheme="minorHAnsi"/>
        </w:rPr>
        <w:t xml:space="preserve">OR via email at </w:t>
      </w:r>
      <w:r>
        <w:rPr>
          <w:rFonts w:eastAsia="Times New Roman" w:cstheme="minorHAnsi"/>
          <w:b/>
          <w:bCs/>
        </w:rPr>
        <w:t>Procurement@giscor.org</w:t>
      </w:r>
    </w:p>
    <w:p w14:paraId="7BE84A7A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</w:rPr>
      </w:pPr>
      <w:r>
        <w:rPr>
          <w:rFonts w:eastAsia="Times New Roman" w:cstheme="minorHAnsi"/>
          <w:b/>
          <w:bCs/>
        </w:rPr>
        <w:t>3.3 Deadline for Receipt of Bids</w:t>
      </w:r>
    </w:p>
    <w:p w14:paraId="3A4B4C53">
      <w:pPr>
        <w:spacing w:before="100" w:beforeAutospacing="1" w:after="100" w:afterAutospacing="1" w:line="240" w:lineRule="auto"/>
        <w:rPr>
          <w:rFonts w:eastAsia="Times New Roman" w:cstheme="minorHAnsi"/>
        </w:rPr>
      </w:pPr>
      <w:r>
        <w:rPr>
          <w:rFonts w:ascii="Segoe UI Symbol" w:hAnsi="Segoe UI Symbol" w:eastAsia="Times New Roman" w:cs="Segoe UI Symbol"/>
        </w:rPr>
        <w:t>📌</w:t>
      </w:r>
      <w:r>
        <w:rPr>
          <w:rFonts w:eastAsia="Times New Roman" w:cstheme="minorHAnsi"/>
        </w:rPr>
        <w:t xml:space="preserve"> </w:t>
      </w:r>
      <w:r>
        <w:rPr>
          <w:rFonts w:eastAsia="Times New Roman" w:cstheme="minorHAnsi"/>
          <w:b/>
          <w:bCs/>
        </w:rPr>
        <w:t>Deadline:</w:t>
      </w:r>
      <w:r>
        <w:rPr>
          <w:rFonts w:eastAsia="Times New Roman" w:cstheme="minorHAnsi"/>
        </w:rPr>
        <w:t xml:space="preserve"> </w:t>
      </w:r>
      <w:r>
        <w:rPr>
          <w:rFonts w:eastAsia="Times New Roman" w:cstheme="minorHAnsi"/>
          <w:b/>
          <w:bCs/>
        </w:rPr>
        <w:t>1</w:t>
      </w:r>
      <w:r>
        <w:rPr>
          <w:rFonts w:hint="default" w:eastAsia="Times New Roman" w:cstheme="minorHAnsi"/>
          <w:b/>
          <w:bCs/>
          <w:lang w:val="en-US"/>
        </w:rPr>
        <w:t>6</w:t>
      </w:r>
      <w:r>
        <w:rPr>
          <w:rFonts w:eastAsia="Times New Roman" w:cstheme="minorHAnsi"/>
          <w:b/>
          <w:bCs/>
        </w:rPr>
        <w:t>th February 2026</w:t>
      </w:r>
      <w:r>
        <w:rPr>
          <w:rFonts w:eastAsia="Times New Roman" w:cstheme="minorHAnsi"/>
        </w:rPr>
        <w:br w:type="textWrapping"/>
      </w:r>
      <w:r>
        <w:rPr>
          <w:rFonts w:eastAsia="Times New Roman" w:cstheme="minorHAnsi"/>
          <w:b/>
          <w:bCs/>
        </w:rPr>
        <w:t>Time:</w:t>
      </w:r>
      <w:r>
        <w:rPr>
          <w:rFonts w:eastAsia="Times New Roman" w:cstheme="minorHAnsi"/>
        </w:rPr>
        <w:t xml:space="preserve"> Not later than </w:t>
      </w:r>
      <w:r>
        <w:rPr>
          <w:rFonts w:hint="default" w:eastAsia="Times New Roman" w:cstheme="minorHAnsi"/>
          <w:b/>
          <w:bCs/>
          <w:lang w:val="en-US"/>
        </w:rPr>
        <w:t>5</w:t>
      </w:r>
      <w:r>
        <w:rPr>
          <w:rFonts w:eastAsia="Times New Roman" w:cstheme="minorHAnsi"/>
          <w:b/>
          <w:bCs/>
        </w:rPr>
        <w:t>:00 PM (1</w:t>
      </w:r>
      <w:r>
        <w:rPr>
          <w:rFonts w:hint="default" w:eastAsia="Times New Roman" w:cstheme="minorHAnsi"/>
          <w:b/>
          <w:bCs/>
          <w:lang w:val="en-US"/>
        </w:rPr>
        <w:t>7</w:t>
      </w:r>
      <w:r>
        <w:rPr>
          <w:rFonts w:eastAsia="Times New Roman" w:cstheme="minorHAnsi"/>
          <w:b/>
          <w:bCs/>
        </w:rPr>
        <w:t>:00 hours)</w:t>
      </w:r>
    </w:p>
    <w:p w14:paraId="22A20D40">
      <w:pPr>
        <w:spacing w:before="100" w:beforeAutospacing="1" w:after="100" w:afterAutospacing="1" w:line="240" w:lineRule="auto"/>
        <w:rPr>
          <w:rFonts w:eastAsia="Times New Roman" w:cstheme="minorHAnsi"/>
        </w:rPr>
      </w:pPr>
      <w:r>
        <w:rPr>
          <w:rFonts w:eastAsia="Times New Roman" w:cstheme="minorHAnsi"/>
        </w:rPr>
        <w:t xml:space="preserve">Late submissions will </w:t>
      </w:r>
      <w:r>
        <w:rPr>
          <w:rFonts w:eastAsia="Times New Roman" w:cstheme="minorHAnsi"/>
          <w:b/>
          <w:bCs/>
        </w:rPr>
        <w:t>not</w:t>
      </w:r>
      <w:r>
        <w:rPr>
          <w:rFonts w:eastAsia="Times New Roman" w:cstheme="minorHAnsi"/>
        </w:rPr>
        <w:t xml:space="preserve"> be considered.</w:t>
      </w:r>
    </w:p>
    <w:p w14:paraId="6D6E3A73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</w:rPr>
      </w:pPr>
      <w:r>
        <w:rPr>
          <w:rFonts w:eastAsia="Times New Roman" w:cstheme="minorHAnsi"/>
          <w:b/>
          <w:bCs/>
        </w:rPr>
        <w:t>3.4 Clarifications</w:t>
      </w:r>
    </w:p>
    <w:p w14:paraId="30760FA8">
      <w:pPr>
        <w:spacing w:before="100" w:beforeAutospacing="1" w:after="100" w:afterAutospacing="1" w:line="240" w:lineRule="auto"/>
        <w:rPr>
          <w:rFonts w:eastAsia="Times New Roman" w:cstheme="minorHAnsi"/>
        </w:rPr>
      </w:pPr>
      <w:r>
        <w:rPr>
          <w:rFonts w:eastAsia="Times New Roman" w:cstheme="minorHAnsi"/>
        </w:rPr>
        <w:t xml:space="preserve">Requests for clarification must be submitted </w:t>
      </w:r>
      <w:r>
        <w:rPr>
          <w:rFonts w:eastAsia="Times New Roman" w:cstheme="minorHAnsi"/>
          <w:b/>
          <w:bCs/>
        </w:rPr>
        <w:t>in writing</w:t>
      </w:r>
      <w:r>
        <w:rPr>
          <w:rFonts w:eastAsia="Times New Roman" w:cstheme="minorHAnsi"/>
        </w:rPr>
        <w:t xml:space="preserve"> via email before </w:t>
      </w:r>
      <w:r>
        <w:rPr>
          <w:rFonts w:eastAsia="Times New Roman" w:cstheme="minorHAnsi"/>
          <w:b/>
          <w:bCs/>
        </w:rPr>
        <w:t>1</w:t>
      </w:r>
      <w:r>
        <w:rPr>
          <w:rFonts w:hint="default" w:eastAsia="Times New Roman" w:cstheme="minorHAnsi"/>
          <w:b/>
          <w:bCs/>
          <w:lang w:val="en-US"/>
        </w:rPr>
        <w:t>1</w:t>
      </w:r>
      <w:r>
        <w:rPr>
          <w:rFonts w:eastAsia="Times New Roman" w:cstheme="minorHAnsi"/>
          <w:b/>
          <w:bCs/>
        </w:rPr>
        <w:t>th February 2026</w:t>
      </w:r>
      <w:r>
        <w:rPr>
          <w:rFonts w:eastAsia="Times New Roman" w:cstheme="minorHAnsi"/>
        </w:rPr>
        <w:t xml:space="preserve"> to:</w:t>
      </w:r>
    </w:p>
    <w:p w14:paraId="56A09B5B">
      <w:pPr>
        <w:spacing w:before="100" w:beforeAutospacing="1" w:after="100" w:afterAutospacing="1" w:line="240" w:lineRule="auto"/>
        <w:rPr>
          <w:rFonts w:eastAsia="Times New Roman" w:cstheme="minorHAnsi"/>
        </w:rPr>
      </w:pPr>
      <w:r>
        <w:rPr>
          <w:rFonts w:ascii="Segoe UI Symbol" w:hAnsi="Segoe UI Symbol" w:eastAsia="Times New Roman" w:cs="Segoe UI Symbol"/>
        </w:rPr>
        <w:t>📧</w:t>
      </w:r>
      <w:r>
        <w:rPr>
          <w:rFonts w:eastAsia="Times New Roman" w:cstheme="minorHAnsi"/>
        </w:rPr>
        <w:t xml:space="preserve"> </w:t>
      </w:r>
      <w:r>
        <w:rPr>
          <w:rFonts w:eastAsia="Times New Roman" w:cstheme="minorHAnsi"/>
          <w:b/>
          <w:bCs/>
        </w:rPr>
        <w:t xml:space="preserve">Procurement@giscor.org </w:t>
      </w:r>
      <w:r>
        <w:rPr>
          <w:rFonts w:eastAsia="Times New Roman" w:cstheme="minorHAnsi"/>
        </w:rPr>
        <w:br w:type="textWrapping"/>
      </w:r>
      <w:r>
        <w:rPr>
          <w:rFonts w:eastAsia="Times New Roman" w:cstheme="minorHAnsi"/>
        </w:rPr>
        <w:t>(Please quote the tender reference number in the subject line.)</w:t>
      </w:r>
    </w:p>
    <w:p w14:paraId="281CA03B">
      <w:pPr>
        <w:spacing w:before="100" w:beforeAutospacing="1" w:after="100" w:afterAutospacing="1" w:line="240" w:lineRule="auto"/>
        <w:rPr>
          <w:rFonts w:eastAsia="Times New Roman" w:cstheme="minorHAnsi"/>
          <w:b/>
        </w:rPr>
      </w:pPr>
      <w:r>
        <w:rPr>
          <w:rFonts w:eastAsia="Times New Roman" w:cstheme="minorHAnsi"/>
          <w:b/>
        </w:rPr>
        <w:t xml:space="preserve">Kindly get the tender dossier at </w:t>
      </w:r>
      <w:r>
        <w:rPr>
          <w:rFonts w:eastAsia="Times New Roman" w:cstheme="minorHAnsi"/>
          <w:b/>
          <w:color w:val="002060"/>
          <w:u w:val="single"/>
        </w:rPr>
        <w:t>www.giscor.org</w:t>
      </w:r>
    </w:p>
    <w:p w14:paraId="73EE4E8B">
      <w:pPr>
        <w:spacing w:before="100" w:beforeAutospacing="1" w:after="100" w:afterAutospacing="1" w:line="240" w:lineRule="auto"/>
        <w:rPr>
          <w:rFonts w:eastAsia="Times New Roman" w:cstheme="minorHAnsi"/>
        </w:rPr>
      </w:pPr>
    </w:p>
    <w:p w14:paraId="35C35DF9">
      <w:pPr>
        <w:spacing w:after="0" w:line="240" w:lineRule="auto"/>
        <w:rPr>
          <w:rFonts w:eastAsia="Times New Roman" w:cstheme="minorHAnsi"/>
        </w:rPr>
      </w:pPr>
    </w:p>
    <w:sectPr>
      <w:pgSz w:w="12240" w:h="15840"/>
      <w:pgMar w:top="1440" w:right="1440" w:bottom="320" w:left="144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egoe UI Symbol">
    <w:panose1 w:val="020B0502040204020203"/>
    <w:charset w:val="00"/>
    <w:family w:val="swiss"/>
    <w:pitch w:val="default"/>
    <w:sig w:usb0="800001E3" w:usb1="1200FFEF" w:usb2="00040000" w:usb3="04000000" w:csb0="00000001" w:csb1="4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5966079"/>
    <w:multiLevelType w:val="multilevel"/>
    <w:tmpl w:val="45966079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3FD1"/>
    <w:rsid w:val="002F17A2"/>
    <w:rsid w:val="00394412"/>
    <w:rsid w:val="00563FD1"/>
    <w:rsid w:val="008543B2"/>
    <w:rsid w:val="008F0E46"/>
    <w:rsid w:val="00972E87"/>
    <w:rsid w:val="00B96795"/>
    <w:rsid w:val="00CB2ACE"/>
    <w:rsid w:val="00CE74B4"/>
    <w:rsid w:val="00DD48FD"/>
    <w:rsid w:val="017D3533"/>
    <w:rsid w:val="022F3D0B"/>
    <w:rsid w:val="04F12429"/>
    <w:rsid w:val="098A5D86"/>
    <w:rsid w:val="0F527130"/>
    <w:rsid w:val="11C56BB4"/>
    <w:rsid w:val="1283026C"/>
    <w:rsid w:val="141E3891"/>
    <w:rsid w:val="14892F40"/>
    <w:rsid w:val="1EB40FB9"/>
    <w:rsid w:val="1FED61F0"/>
    <w:rsid w:val="2722776F"/>
    <w:rsid w:val="2CF57952"/>
    <w:rsid w:val="32E16709"/>
    <w:rsid w:val="3A6A61E5"/>
    <w:rsid w:val="3EA242D1"/>
    <w:rsid w:val="419C74B1"/>
    <w:rsid w:val="43850656"/>
    <w:rsid w:val="45EB6847"/>
    <w:rsid w:val="46BB7E19"/>
    <w:rsid w:val="4A3E54DC"/>
    <w:rsid w:val="4D086C14"/>
    <w:rsid w:val="51923C49"/>
    <w:rsid w:val="57381EA7"/>
    <w:rsid w:val="585B3B37"/>
    <w:rsid w:val="5B1E180D"/>
    <w:rsid w:val="671578AF"/>
    <w:rsid w:val="67554E15"/>
    <w:rsid w:val="676334F7"/>
    <w:rsid w:val="745F2629"/>
    <w:rsid w:val="7473071B"/>
    <w:rsid w:val="7E086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nhideWhenUsed="0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paragraph" w:styleId="2">
    <w:name w:val="heading 2"/>
    <w:basedOn w:val="1"/>
    <w:next w:val="1"/>
    <w:link w:val="10"/>
    <w:qFormat/>
    <w:uiPriority w:val="9"/>
    <w:pPr>
      <w:spacing w:before="100" w:beforeAutospacing="1" w:after="100" w:afterAutospacing="1" w:line="240" w:lineRule="auto"/>
      <w:outlineLvl w:val="1"/>
    </w:pPr>
    <w:rPr>
      <w:rFonts w:ascii="Times New Roman" w:hAnsi="Times New Roman" w:eastAsia="Times New Roman" w:cs="Times New Roman"/>
      <w:b/>
      <w:bCs/>
      <w:sz w:val="36"/>
      <w:szCs w:val="36"/>
    </w:rPr>
  </w:style>
  <w:style w:type="paragraph" w:styleId="3">
    <w:name w:val="heading 3"/>
    <w:basedOn w:val="1"/>
    <w:link w:val="11"/>
    <w:qFormat/>
    <w:uiPriority w:val="9"/>
    <w:pPr>
      <w:spacing w:before="100" w:beforeAutospacing="1" w:after="100" w:afterAutospacing="1" w:line="240" w:lineRule="auto"/>
      <w:outlineLvl w:val="2"/>
    </w:pPr>
    <w:rPr>
      <w:rFonts w:ascii="Times New Roman" w:hAnsi="Times New Roman" w:eastAsia="Times New Roman" w:cs="Times New Roman"/>
      <w:b/>
      <w:bCs/>
      <w:sz w:val="27"/>
      <w:szCs w:val="27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6">
    <w:name w:val="Emphasis"/>
    <w:basedOn w:val="4"/>
    <w:qFormat/>
    <w:uiPriority w:val="20"/>
    <w:rPr>
      <w:i/>
      <w:iCs/>
    </w:rPr>
  </w:style>
  <w:style w:type="paragraph" w:styleId="7">
    <w:name w:val="Normal (Web)"/>
    <w:basedOn w:val="1"/>
    <w:semiHidden/>
    <w:unhideWhenUsed/>
    <w:qFormat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  <w:style w:type="character" w:styleId="8">
    <w:name w:val="Strong"/>
    <w:basedOn w:val="4"/>
    <w:qFormat/>
    <w:uiPriority w:val="22"/>
    <w:rPr>
      <w:b/>
      <w:bCs/>
    </w:rPr>
  </w:style>
  <w:style w:type="table" w:styleId="9">
    <w:name w:val="Table Grid"/>
    <w:basedOn w:val="5"/>
    <w:qFormat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0">
    <w:name w:val="Heading 2 Char"/>
    <w:basedOn w:val="4"/>
    <w:link w:val="2"/>
    <w:qFormat/>
    <w:uiPriority w:val="9"/>
    <w:rPr>
      <w:rFonts w:ascii="Times New Roman" w:hAnsi="Times New Roman" w:eastAsia="Times New Roman" w:cs="Times New Roman"/>
      <w:b/>
      <w:bCs/>
      <w:sz w:val="36"/>
      <w:szCs w:val="36"/>
    </w:rPr>
  </w:style>
  <w:style w:type="character" w:customStyle="1" w:styleId="11">
    <w:name w:val="Heading 3 Char"/>
    <w:basedOn w:val="4"/>
    <w:link w:val="3"/>
    <w:qFormat/>
    <w:uiPriority w:val="9"/>
    <w:rPr>
      <w:rFonts w:ascii="Times New Roman" w:hAnsi="Times New Roman" w:eastAsia="Times New Roman" w:cs="Times New Roman"/>
      <w:b/>
      <w:bCs/>
      <w:sz w:val="27"/>
      <w:szCs w:val="27"/>
    </w:rPr>
  </w:style>
  <w:style w:type="paragraph" w:styleId="12">
    <w:name w:val="No Spacing"/>
    <w:qFormat/>
    <w:uiPriority w:val="1"/>
    <w:pPr>
      <w:spacing w:after="0" w:line="240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paragraph" w:styleId="13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1417</Words>
  <Characters>8082</Characters>
  <Lines>67</Lines>
  <Paragraphs>18</Paragraphs>
  <TotalTime>36</TotalTime>
  <ScaleCrop>false</ScaleCrop>
  <LinksUpToDate>false</LinksUpToDate>
  <CharactersWithSpaces>9481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2026-02-05T14:00:00Z</dcterms:created>
  <dc:creator>DELL</dc:creator>
  <cp:lastModifiedBy>Gbue Zubairu</cp:lastModifiedBy>
  <dcterms:modified xsi:type="dcterms:W3CDTF">2026-02-06T10:39:06Z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1033-12.2.0.23196</vt:lpwstr>
  </property>
  <property fmtid="{D5CDD505-2E9C-101B-9397-08002B2CF9AE}" pid="3" name="ICV">
    <vt:lpwstr>B572498AFDD844E3B6A5FFABB37F4D5B_12</vt:lpwstr>
  </property>
</Properties>
</file>